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3C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Προκαταρκτικές Επισημάνσεις </w:t>
      </w:r>
    </w:p>
    <w:p w:rsidR="007533DA" w:rsidRPr="00A45988" w:rsidRDefault="005A123C" w:rsidP="005A123C">
      <w:pPr>
        <w:pStyle w:val="Subtitle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5B8B7" w:themeFill="accent2" w:themeFillTint="66"/>
        <w:rPr>
          <w:b/>
          <w:i w:val="0"/>
          <w:color w:val="auto"/>
          <w:sz w:val="40"/>
          <w:szCs w:val="40"/>
          <w:lang w:val="el-GR"/>
        </w:rPr>
      </w:pPr>
      <w:r w:rsidRPr="00A45988">
        <w:rPr>
          <w:b/>
          <w:i w:val="0"/>
          <w:color w:val="auto"/>
          <w:sz w:val="40"/>
          <w:szCs w:val="40"/>
          <w:lang w:val="el-GR"/>
        </w:rPr>
        <w:t xml:space="preserve">Διαπιστώσεις Ανεργίας </w:t>
      </w:r>
      <w:r w:rsidR="00BD3C6C" w:rsidRPr="00A45988">
        <w:rPr>
          <w:b/>
          <w:i w:val="0"/>
          <w:color w:val="auto"/>
          <w:sz w:val="40"/>
          <w:szCs w:val="40"/>
          <w:lang w:val="el-GR"/>
        </w:rPr>
        <w:t>–</w:t>
      </w:r>
      <w:r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C325DD">
        <w:rPr>
          <w:b/>
          <w:i w:val="0"/>
          <w:color w:val="auto"/>
          <w:sz w:val="40"/>
          <w:szCs w:val="40"/>
          <w:lang w:val="el-GR"/>
        </w:rPr>
        <w:t>Ιανουάριος</w:t>
      </w:r>
      <w:r w:rsidR="00D2116D" w:rsidRPr="00A45988">
        <w:rPr>
          <w:b/>
          <w:i w:val="0"/>
          <w:color w:val="auto"/>
          <w:sz w:val="40"/>
          <w:szCs w:val="40"/>
          <w:lang w:val="el-GR"/>
        </w:rPr>
        <w:t xml:space="preserve"> </w:t>
      </w:r>
      <w:r w:rsidR="00267103" w:rsidRPr="00A45988">
        <w:rPr>
          <w:b/>
          <w:i w:val="0"/>
          <w:color w:val="auto"/>
          <w:sz w:val="40"/>
          <w:szCs w:val="40"/>
          <w:lang w:val="el-GR"/>
        </w:rPr>
        <w:t>201</w:t>
      </w:r>
      <w:r w:rsidR="00C325DD">
        <w:rPr>
          <w:b/>
          <w:i w:val="0"/>
          <w:color w:val="auto"/>
          <w:sz w:val="40"/>
          <w:szCs w:val="40"/>
          <w:lang w:val="el-GR"/>
        </w:rPr>
        <w:t>9</w:t>
      </w:r>
    </w:p>
    <w:p w:rsidR="00267103" w:rsidRPr="009D5A5D" w:rsidRDefault="00267103" w:rsidP="00267103">
      <w:pPr>
        <w:rPr>
          <w:lang w:val="el-GR"/>
        </w:rPr>
      </w:pPr>
    </w:p>
    <w:p w:rsidR="008C5C74" w:rsidRPr="002D6A8E" w:rsidRDefault="008A0686" w:rsidP="00DB660D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Α.  </w:t>
      </w:r>
      <w:r w:rsidR="008C5C74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Ανεργία Προσαρμοσμένη στις Εποχι</w:t>
      </w:r>
      <w:r w:rsidR="004C09A6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κ</w:t>
      </w:r>
      <w:r w:rsidR="008C5C74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ές Διακυμάνσεις</w:t>
      </w:r>
      <w:r w:rsidR="008C5C74" w:rsidRPr="002D6A8E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1"/>
      </w:r>
    </w:p>
    <w:p w:rsidR="008C5C74" w:rsidRPr="002D6A8E" w:rsidRDefault="008C5C74" w:rsidP="00235E23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EUROSTAT)</w:t>
      </w:r>
      <w:r w:rsidR="00124068"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 xml:space="preserve"> </w:t>
      </w:r>
    </w:p>
    <w:p w:rsidR="002B3A4E" w:rsidRPr="002D6A8E" w:rsidRDefault="002B3A4E" w:rsidP="002B3A4E">
      <w:pPr>
        <w:jc w:val="both"/>
        <w:rPr>
          <w:rFonts w:ascii="Calibri" w:eastAsia="Calibri" w:hAnsi="Calibri" w:cs="Arial"/>
          <w:b/>
          <w:bCs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2D6A8E">
        <w:rPr>
          <w:rFonts w:ascii="Calibri" w:eastAsia="Calibri" w:hAnsi="Calibri" w:cs="Arial"/>
          <w:sz w:val="22"/>
          <w:szCs w:val="22"/>
        </w:rPr>
        <w:t>Eurostat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, τα οποία είναι προκαταρκτικά και αποτελούν </w:t>
      </w:r>
      <w:r w:rsidR="00BA6870" w:rsidRPr="002D6A8E">
        <w:rPr>
          <w:rFonts w:ascii="Calibri" w:eastAsia="Calibri" w:hAnsi="Calibri" w:cs="Arial"/>
          <w:sz w:val="22"/>
          <w:szCs w:val="22"/>
          <w:lang w:val="el-GR"/>
        </w:rPr>
        <w:t>εκτίμηση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, κατά το μήνα </w:t>
      </w:r>
      <w:r w:rsidR="00C85868" w:rsidRPr="002D6A8E">
        <w:rPr>
          <w:rFonts w:ascii="Calibri" w:eastAsia="Calibri" w:hAnsi="Calibri" w:cs="Arial"/>
          <w:i/>
          <w:sz w:val="22"/>
          <w:szCs w:val="22"/>
          <w:lang w:val="el-GR"/>
        </w:rPr>
        <w:t>Δεκέμβριο</w:t>
      </w:r>
      <w:r w:rsidR="00DC1EFA" w:rsidRPr="002D6A8E">
        <w:rPr>
          <w:rFonts w:ascii="Calibri" w:eastAsia="Calibri" w:hAnsi="Calibri" w:cs="Arial"/>
          <w:i/>
          <w:sz w:val="22"/>
          <w:szCs w:val="22"/>
          <w:lang w:val="el-GR"/>
        </w:rPr>
        <w:t xml:space="preserve"> </w:t>
      </w:r>
      <w:r w:rsidR="00D40C96" w:rsidRPr="002D6A8E">
        <w:rPr>
          <w:rFonts w:ascii="Calibri" w:eastAsia="Calibri" w:hAnsi="Calibri" w:cs="Arial"/>
          <w:i/>
          <w:sz w:val="22"/>
          <w:szCs w:val="22"/>
          <w:lang w:val="el-GR"/>
        </w:rPr>
        <w:t xml:space="preserve">του </w:t>
      </w:r>
      <w:r w:rsidRPr="002D6A8E">
        <w:rPr>
          <w:rFonts w:ascii="Calibri" w:eastAsia="Calibri" w:hAnsi="Calibri" w:cs="Arial"/>
          <w:i/>
          <w:sz w:val="22"/>
          <w:szCs w:val="22"/>
          <w:lang w:val="el-GR"/>
        </w:rPr>
        <w:t>201</w:t>
      </w:r>
      <w:r w:rsidR="00D40C96" w:rsidRPr="002D6A8E">
        <w:rPr>
          <w:rFonts w:ascii="Calibri" w:eastAsia="Calibri" w:hAnsi="Calibri" w:cs="Arial"/>
          <w:i/>
          <w:sz w:val="22"/>
          <w:szCs w:val="22"/>
          <w:lang w:val="el-GR"/>
        </w:rPr>
        <w:t>8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η ανεργία 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 xml:space="preserve">στην Κύπρο 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ανήλθε στο </w:t>
      </w:r>
      <w:r w:rsidR="00B7768B" w:rsidRPr="002D6A8E">
        <w:rPr>
          <w:rFonts w:ascii="Calibri" w:eastAsia="Calibri" w:hAnsi="Calibri" w:cs="Arial"/>
          <w:sz w:val="22"/>
          <w:szCs w:val="22"/>
          <w:lang w:val="el-GR"/>
        </w:rPr>
        <w:t>8,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8</w:t>
      </w:r>
      <w:r w:rsidR="001817AE" w:rsidRPr="002D6A8E">
        <w:rPr>
          <w:rFonts w:ascii="Calibri" w:eastAsia="Calibri" w:hAnsi="Calibri" w:cs="Arial"/>
          <w:b/>
          <w:sz w:val="22"/>
          <w:szCs w:val="22"/>
          <w:lang w:val="el-GR"/>
        </w:rPr>
        <w:t>%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9F60DE" w:rsidRPr="002D6A8E">
        <w:rPr>
          <w:rFonts w:ascii="Calibri" w:eastAsia="Calibri" w:hAnsi="Calibri" w:cs="Arial"/>
          <w:sz w:val="22"/>
          <w:szCs w:val="22"/>
          <w:lang w:val="el-GR"/>
        </w:rPr>
        <w:t xml:space="preserve">παρουσιάζοντας μείωση κατά </w:t>
      </w:r>
      <w:r w:rsidR="00B7768B" w:rsidRPr="002D6A8E">
        <w:rPr>
          <w:rFonts w:ascii="Calibri" w:eastAsia="Calibri" w:hAnsi="Calibri" w:cs="Arial"/>
          <w:sz w:val="22"/>
          <w:szCs w:val="22"/>
          <w:lang w:val="el-GR"/>
        </w:rPr>
        <w:t>1,5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ποσοστιαί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μονάδ</w:t>
      </w:r>
      <w:r w:rsidR="00096790" w:rsidRPr="002D6A8E">
        <w:rPr>
          <w:rFonts w:ascii="Calibri" w:eastAsia="Calibri" w:hAnsi="Calibri" w:cs="Arial"/>
          <w:sz w:val="22"/>
          <w:szCs w:val="22"/>
          <w:lang w:val="el-GR"/>
        </w:rPr>
        <w:t>ες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σε σχέση με τον ίδιο μήνα πέρσι (1</w:t>
      </w:r>
      <w:r w:rsidR="007E46E7" w:rsidRPr="002D6A8E">
        <w:rPr>
          <w:rFonts w:ascii="Calibri" w:eastAsia="Calibri" w:hAnsi="Calibri" w:cs="Arial"/>
          <w:sz w:val="22"/>
          <w:szCs w:val="22"/>
          <w:lang w:val="el-GR"/>
        </w:rPr>
        <w:t>0</w:t>
      </w:r>
      <w:r w:rsidR="00D2116D" w:rsidRPr="002D6A8E">
        <w:rPr>
          <w:rFonts w:ascii="Calibri" w:eastAsia="Calibri" w:hAnsi="Calibri" w:cs="Arial"/>
          <w:sz w:val="22"/>
          <w:szCs w:val="22"/>
          <w:lang w:val="el-GR"/>
        </w:rPr>
        <w:t>,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3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>%). Σε σύγκριση με το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>ν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προηγούμενο</w:t>
      </w:r>
      <w:r w:rsidR="00BE105E"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>μήν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 xml:space="preserve">α,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Νοέμβριο</w:t>
      </w:r>
      <w:r w:rsidR="003A6DD7" w:rsidRPr="002D6A8E">
        <w:rPr>
          <w:rFonts w:ascii="Calibri" w:eastAsia="Calibri" w:hAnsi="Calibri" w:cs="Arial"/>
          <w:sz w:val="22"/>
          <w:szCs w:val="22"/>
          <w:lang w:val="el-GR"/>
        </w:rPr>
        <w:t xml:space="preserve"> 2018</w:t>
      </w:r>
      <w:r w:rsidR="007F2610" w:rsidRPr="002D6A8E">
        <w:rPr>
          <w:rFonts w:ascii="Calibri" w:eastAsia="Calibri" w:hAnsi="Calibri" w:cs="Arial"/>
          <w:sz w:val="22"/>
          <w:szCs w:val="22"/>
          <w:lang w:val="el-GR"/>
        </w:rPr>
        <w:t>,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 ποσοστό </w:t>
      </w:r>
      <w:r w:rsidR="004772F2" w:rsidRPr="002D6A8E">
        <w:rPr>
          <w:rFonts w:ascii="Calibri" w:eastAsia="Calibri" w:hAnsi="Calibri" w:cs="Arial"/>
          <w:sz w:val="22"/>
          <w:szCs w:val="22"/>
          <w:lang w:val="el-GR"/>
        </w:rPr>
        <w:t xml:space="preserve">ανεργίας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μειώθηκε</w:t>
      </w:r>
      <w:r w:rsidR="00D260F6" w:rsidRPr="002D6A8E">
        <w:rPr>
          <w:rFonts w:ascii="Calibri" w:eastAsia="Calibri" w:hAnsi="Calibri" w:cs="Arial"/>
          <w:sz w:val="22"/>
          <w:szCs w:val="22"/>
          <w:lang w:val="el-GR"/>
        </w:rPr>
        <w:t xml:space="preserve"> κατά 0,</w:t>
      </w:r>
      <w:r w:rsidR="00F026C7" w:rsidRPr="002D6A8E">
        <w:rPr>
          <w:rFonts w:ascii="Calibri" w:eastAsia="Calibri" w:hAnsi="Calibri" w:cs="Arial"/>
          <w:sz w:val="22"/>
          <w:szCs w:val="22"/>
          <w:lang w:val="el-GR"/>
        </w:rPr>
        <w:t>1</w:t>
      </w:r>
      <w:r w:rsidR="004772F2" w:rsidRPr="002D6A8E">
        <w:rPr>
          <w:rFonts w:ascii="Calibri" w:eastAsia="Calibri" w:hAnsi="Calibri" w:cs="Arial"/>
          <w:sz w:val="22"/>
          <w:szCs w:val="22"/>
          <w:lang w:val="el-GR"/>
        </w:rPr>
        <w:t xml:space="preserve"> ποσοστιαία μονάδα</w:t>
      </w:r>
      <w:r w:rsidR="00D96D5F" w:rsidRPr="002D6A8E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>Το επίπεδο ανεργίας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στην 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>Ευρωζώνη (ΕΑ 19)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έφτασε στο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7,9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% τον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Δεκέμβριο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2018</w:t>
      </w:r>
      <w:r w:rsidR="00DE0AB6" w:rsidRPr="002D6A8E">
        <w:rPr>
          <w:rFonts w:ascii="Calibri" w:eastAsia="Calibri" w:hAnsi="Calibri" w:cs="Arial"/>
          <w:sz w:val="22"/>
          <w:szCs w:val="22"/>
          <w:lang w:val="el-GR"/>
        </w:rPr>
        <w:t xml:space="preserve"> καταγράφοντας το χαμηλότερο ποσοστό ανεργίας από τον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Οκτώβριο</w:t>
      </w:r>
      <w:r w:rsidR="00DE0AB6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2008</w:t>
      </w:r>
      <w:r w:rsidR="00921803" w:rsidRPr="002D6A8E">
        <w:rPr>
          <w:rFonts w:ascii="Calibri" w:eastAsia="Calibri" w:hAnsi="Calibri" w:cs="Arial"/>
          <w:sz w:val="22"/>
          <w:szCs w:val="22"/>
          <w:lang w:val="el-GR"/>
        </w:rPr>
        <w:t xml:space="preserve">. </w:t>
      </w:r>
    </w:p>
    <w:p w:rsidR="003C61A1" w:rsidRPr="002D6A8E" w:rsidRDefault="00921803" w:rsidP="00921803">
      <w:pPr>
        <w:pStyle w:val="ListParagraph"/>
        <w:tabs>
          <w:tab w:val="left" w:pos="4150"/>
        </w:tabs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8"/>
          <w:szCs w:val="8"/>
          <w:lang w:val="el-GR"/>
        </w:rPr>
      </w:pPr>
      <w:r w:rsidRPr="002D6A8E">
        <w:rPr>
          <w:rFonts w:asciiTheme="minorHAnsi" w:hAnsiTheme="minorHAnsi" w:cs="Arial"/>
          <w:b w:val="0"/>
          <w:bCs w:val="0"/>
          <w:color w:val="auto"/>
          <w:sz w:val="8"/>
          <w:szCs w:val="8"/>
          <w:lang w:val="el-GR"/>
        </w:rPr>
        <w:tab/>
      </w:r>
    </w:p>
    <w:p w:rsidR="001731B4" w:rsidRPr="002D6A8E" w:rsidRDefault="001731B4" w:rsidP="001731B4">
      <w:pPr>
        <w:spacing w:after="0"/>
        <w:jc w:val="both"/>
        <w:rPr>
          <w:rFonts w:ascii="Calibri" w:eastAsia="Calibri" w:hAnsi="Calibri" w:cs="Arial"/>
          <w:bCs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Η ανεργία των νέων </w:t>
      </w:r>
      <w:r w:rsidR="00313830" w:rsidRPr="002D6A8E">
        <w:rPr>
          <w:rFonts w:ascii="Calibri" w:eastAsia="Calibri" w:hAnsi="Calibri" w:cs="Arial"/>
          <w:bCs/>
          <w:sz w:val="22"/>
          <w:szCs w:val="22"/>
          <w:lang w:val="el-GR"/>
        </w:rPr>
        <w:t>15-24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ετών </w:t>
      </w:r>
      <w:r w:rsidR="00421F8B" w:rsidRPr="002D6A8E">
        <w:rPr>
          <w:rFonts w:ascii="Calibri" w:eastAsia="Calibri" w:hAnsi="Calibri" w:cs="Arial"/>
          <w:bCs/>
          <w:sz w:val="22"/>
          <w:szCs w:val="22"/>
          <w:lang w:val="el-GR"/>
        </w:rPr>
        <w:t>μειώθηκε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στο </w:t>
      </w:r>
      <w:r w:rsidR="00F026C7" w:rsidRPr="002D6A8E">
        <w:rPr>
          <w:rFonts w:ascii="Calibri" w:eastAsia="Calibri" w:hAnsi="Calibri" w:cs="Arial"/>
          <w:bCs/>
          <w:sz w:val="22"/>
          <w:szCs w:val="22"/>
          <w:lang w:val="el-GR"/>
        </w:rPr>
        <w:t>1</w:t>
      </w:r>
      <w:r w:rsidR="00C85868" w:rsidRPr="002D6A8E">
        <w:rPr>
          <w:rFonts w:ascii="Calibri" w:eastAsia="Calibri" w:hAnsi="Calibri" w:cs="Arial"/>
          <w:bCs/>
          <w:sz w:val="22"/>
          <w:szCs w:val="22"/>
          <w:lang w:val="el-GR"/>
        </w:rPr>
        <w:t>8,7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% </w:t>
      </w:r>
      <w:r w:rsidR="00DE6668" w:rsidRPr="002D6A8E">
        <w:rPr>
          <w:rFonts w:ascii="Calibri" w:eastAsia="Calibri" w:hAnsi="Calibri" w:cs="Arial"/>
          <w:bCs/>
          <w:sz w:val="22"/>
          <w:szCs w:val="22"/>
          <w:lang w:val="el-GR"/>
        </w:rPr>
        <w:t>το</w:t>
      </w:r>
      <w:r w:rsidR="00F026C7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ν </w:t>
      </w:r>
      <w:r w:rsidR="00C85868" w:rsidRPr="002D6A8E">
        <w:rPr>
          <w:rFonts w:ascii="Calibri" w:eastAsia="Calibri" w:hAnsi="Calibri" w:cs="Arial"/>
          <w:bCs/>
          <w:sz w:val="22"/>
          <w:szCs w:val="22"/>
          <w:lang w:val="el-GR"/>
        </w:rPr>
        <w:t>Σεπτέμβριο</w:t>
      </w:r>
      <w:r w:rsidR="007E46E7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του</w:t>
      </w:r>
      <w:r w:rsidR="00183892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201</w:t>
      </w:r>
      <w:r w:rsidR="00DC1EFA" w:rsidRPr="002D6A8E">
        <w:rPr>
          <w:rFonts w:ascii="Calibri" w:eastAsia="Calibri" w:hAnsi="Calibri" w:cs="Arial"/>
          <w:bCs/>
          <w:sz w:val="22"/>
          <w:szCs w:val="22"/>
          <w:lang w:val="el-GR"/>
        </w:rPr>
        <w:t>8</w:t>
      </w:r>
      <w:r w:rsidR="00183892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D40C96" w:rsidRPr="002D6A8E">
        <w:rPr>
          <w:rFonts w:ascii="Calibri" w:eastAsia="Calibri" w:hAnsi="Calibri" w:cs="Arial"/>
          <w:bCs/>
          <w:i/>
          <w:sz w:val="22"/>
          <w:szCs w:val="22"/>
          <w:lang w:val="el-GR"/>
        </w:rPr>
        <w:t>(δεν υπάρχουν νεότερα στοιχεία)</w:t>
      </w:r>
      <w:r w:rsidR="00042CEC" w:rsidRPr="002D6A8E">
        <w:rPr>
          <w:rFonts w:ascii="Calibri" w:eastAsia="Calibri" w:hAnsi="Calibri" w:cs="Arial"/>
          <w:bCs/>
          <w:sz w:val="22"/>
          <w:szCs w:val="22"/>
          <w:lang w:val="el-GR"/>
        </w:rPr>
        <w:t>.</w:t>
      </w:r>
      <w:r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</w:p>
    <w:p w:rsidR="003C61A1" w:rsidRPr="002D6A8E" w:rsidRDefault="003C61A1" w:rsidP="003C61A1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auto"/>
          <w:sz w:val="16"/>
          <w:szCs w:val="16"/>
          <w:lang w:val="el-GR"/>
        </w:rPr>
      </w:pPr>
    </w:p>
    <w:p w:rsidR="002B3A4E" w:rsidRPr="002D6A8E" w:rsidRDefault="00520BA4" w:rsidP="002B3A4E">
      <w:pPr>
        <w:jc w:val="both"/>
        <w:rPr>
          <w:rFonts w:ascii="Calibri" w:eastAsia="Calibri" w:hAnsi="Calibri" w:cs="Arial"/>
          <w:sz w:val="22"/>
          <w:szCs w:val="22"/>
          <w:lang w:val="el-GR"/>
        </w:rPr>
      </w:pPr>
      <w:r w:rsidRPr="002D6A8E">
        <w:rPr>
          <w:rFonts w:ascii="Calibri" w:eastAsia="Calibri" w:hAnsi="Calibri" w:cs="Arial"/>
          <w:sz w:val="22"/>
          <w:szCs w:val="22"/>
          <w:lang w:val="el-GR"/>
        </w:rPr>
        <w:t>Τον</w:t>
      </w:r>
      <w:r w:rsidR="00FD0A80"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Δεκέμβριο</w:t>
      </w:r>
      <w:r w:rsidR="00BE105E" w:rsidRPr="002D6A8E">
        <w:rPr>
          <w:rFonts w:ascii="Calibri" w:eastAsia="Calibri" w:hAnsi="Calibri" w:cs="Arial"/>
          <w:bCs/>
          <w:sz w:val="22"/>
          <w:szCs w:val="22"/>
          <w:lang w:val="el-GR"/>
        </w:rPr>
        <w:t xml:space="preserve"> </w:t>
      </w:r>
      <w:r w:rsidR="00FD0A80" w:rsidRPr="002D6A8E">
        <w:rPr>
          <w:rFonts w:ascii="Calibri" w:eastAsia="Calibri" w:hAnsi="Calibri" w:cs="Arial"/>
          <w:sz w:val="22"/>
          <w:szCs w:val="22"/>
          <w:lang w:val="el-GR"/>
        </w:rPr>
        <w:t>του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BE105E" w:rsidRPr="002D6A8E">
        <w:rPr>
          <w:rFonts w:ascii="Calibri" w:eastAsia="Calibri" w:hAnsi="Calibri" w:cs="Arial"/>
          <w:sz w:val="22"/>
          <w:szCs w:val="22"/>
          <w:lang w:val="el-GR"/>
        </w:rPr>
        <w:t>201</w:t>
      </w:r>
      <w:r w:rsidR="002D7145" w:rsidRPr="002D6A8E">
        <w:rPr>
          <w:rFonts w:ascii="Calibri" w:eastAsia="Calibri" w:hAnsi="Calibri" w:cs="Arial"/>
          <w:sz w:val="22"/>
          <w:szCs w:val="22"/>
          <w:lang w:val="el-GR"/>
        </w:rPr>
        <w:t>8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ο μέσος όρος στην Ευρώπη (</w:t>
      </w:r>
      <w:r w:rsidR="002B3A4E" w:rsidRPr="002D6A8E">
        <w:rPr>
          <w:rFonts w:ascii="Calibri" w:eastAsia="Calibri" w:hAnsi="Calibri" w:cs="Arial"/>
          <w:sz w:val="22"/>
          <w:szCs w:val="22"/>
        </w:rPr>
        <w:t>EU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28) </w:t>
      </w:r>
      <w:r w:rsidR="00D44829" w:rsidRPr="002D6A8E">
        <w:rPr>
          <w:rFonts w:ascii="Calibri" w:eastAsia="Calibri" w:hAnsi="Calibri" w:cs="Arial"/>
          <w:sz w:val="22"/>
          <w:szCs w:val="22"/>
          <w:lang w:val="el-GR"/>
        </w:rPr>
        <w:t>έφτασε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 στο </w:t>
      </w:r>
      <w:r w:rsidR="00722E81" w:rsidRPr="002D6A8E">
        <w:rPr>
          <w:rFonts w:ascii="Calibri" w:eastAsia="Calibri" w:hAnsi="Calibri" w:cs="Arial"/>
          <w:sz w:val="22"/>
          <w:szCs w:val="22"/>
          <w:lang w:val="el-GR"/>
        </w:rPr>
        <w:t>6,</w:t>
      </w:r>
      <w:r w:rsidR="00C85868" w:rsidRPr="002D6A8E">
        <w:rPr>
          <w:rFonts w:ascii="Calibri" w:eastAsia="Calibri" w:hAnsi="Calibri" w:cs="Arial"/>
          <w:sz w:val="22"/>
          <w:szCs w:val="22"/>
          <w:lang w:val="el-GR"/>
        </w:rPr>
        <w:t>6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>% καταγράφοντας το χαμηλότερο ποσοστό ανεργίας</w:t>
      </w:r>
      <w:r w:rsidRPr="002D6A8E">
        <w:rPr>
          <w:rFonts w:ascii="Calibri" w:eastAsia="Calibri" w:hAnsi="Calibri" w:cs="Arial"/>
          <w:sz w:val="22"/>
          <w:szCs w:val="22"/>
          <w:lang w:val="el-GR"/>
        </w:rPr>
        <w:t xml:space="preserve"> 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από τον 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>Ιανουάριο</w:t>
      </w:r>
      <w:r w:rsidR="00DB4765" w:rsidRPr="002D6A8E">
        <w:rPr>
          <w:rFonts w:ascii="Calibri" w:eastAsia="Calibri" w:hAnsi="Calibri" w:cs="Arial"/>
          <w:sz w:val="22"/>
          <w:szCs w:val="22"/>
          <w:lang w:val="el-GR"/>
        </w:rPr>
        <w:t xml:space="preserve"> του 200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>0</w:t>
      </w:r>
      <w:r w:rsidR="00F03ED3" w:rsidRPr="002D6A8E">
        <w:rPr>
          <w:rFonts w:ascii="Calibri" w:eastAsia="Calibri" w:hAnsi="Calibri" w:cs="Arial"/>
          <w:sz w:val="22"/>
          <w:szCs w:val="22"/>
          <w:lang w:val="el-GR"/>
        </w:rPr>
        <w:t>, όπου ήταν η</w:t>
      </w:r>
      <w:r w:rsidR="00F46CB5" w:rsidRPr="002D6A8E">
        <w:rPr>
          <w:rFonts w:ascii="Calibri" w:eastAsia="Calibri" w:hAnsi="Calibri" w:cs="Arial"/>
          <w:sz w:val="22"/>
          <w:szCs w:val="22"/>
          <w:lang w:val="el-GR"/>
        </w:rPr>
        <w:t xml:space="preserve"> έναρξη της καταγραφής της σειράς των μηνιαίων στατιστικών ανεργίας της ΕΕ)</w:t>
      </w:r>
      <w:r w:rsidR="002B3A4E" w:rsidRPr="002D6A8E">
        <w:rPr>
          <w:rFonts w:ascii="Calibri" w:eastAsia="Calibri" w:hAnsi="Calibri" w:cs="Arial"/>
          <w:sz w:val="22"/>
          <w:szCs w:val="22"/>
          <w:lang w:val="el-GR"/>
        </w:rPr>
        <w:t xml:space="preserve">.  </w:t>
      </w:r>
    </w:p>
    <w:p w:rsidR="002B3A4E" w:rsidRPr="002D6A8E" w:rsidRDefault="002B3A4E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u w:val="single"/>
          <w:lang w:val="el-GR"/>
        </w:rPr>
      </w:pPr>
    </w:p>
    <w:p w:rsidR="000C1C44" w:rsidRPr="002D6A8E" w:rsidRDefault="000C1C44" w:rsidP="000C1C44">
      <w:pPr>
        <w:pStyle w:val="ListParagraph"/>
        <w:spacing w:before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Β.  Έρευνα Εργατικού Δυναμικού</w:t>
      </w:r>
      <w:r w:rsidRPr="002D6A8E">
        <w:rPr>
          <w:rStyle w:val="FootnoteReference"/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footnoteReference w:id="2"/>
      </w:r>
    </w:p>
    <w:p w:rsidR="000C1C44" w:rsidRPr="002D6A8E" w:rsidRDefault="000C1C44" w:rsidP="000C1C44">
      <w:pPr>
        <w:pStyle w:val="ListParagraph"/>
        <w:spacing w:after="240" w:line="276" w:lineRule="auto"/>
        <w:ind w:left="0"/>
        <w:jc w:val="both"/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</w:pPr>
      <w:r w:rsidRPr="002D6A8E">
        <w:rPr>
          <w:rFonts w:asciiTheme="minorHAnsi" w:hAnsiTheme="minorHAnsi" w:cs="Arial"/>
          <w:color w:val="auto"/>
          <w:spacing w:val="4"/>
          <w:sz w:val="22"/>
          <w:szCs w:val="22"/>
          <w:u w:val="single"/>
          <w:lang w:val="el-GR"/>
        </w:rPr>
        <w:t>(Πηγή: Στατιστική Υπηρεσία)</w:t>
      </w:r>
    </w:p>
    <w:p w:rsidR="00DF31B2" w:rsidRPr="002D6A8E" w:rsidRDefault="00767448" w:rsidP="00767448">
      <w:pPr>
        <w:spacing w:after="240"/>
        <w:jc w:val="both"/>
        <w:rPr>
          <w:rFonts w:asciiTheme="minorHAnsi" w:hAnsiTheme="minorHAnsi"/>
          <w:sz w:val="22"/>
          <w:szCs w:val="22"/>
          <w:lang w:val="el-GR"/>
        </w:rPr>
      </w:pPr>
      <w:r w:rsidRPr="002D6A8E">
        <w:rPr>
          <w:rFonts w:asciiTheme="minorHAnsi" w:hAnsiTheme="minorHAnsi"/>
          <w:sz w:val="22"/>
          <w:szCs w:val="22"/>
          <w:lang w:val="el-GR"/>
        </w:rPr>
        <w:t>Σύμφωνα με τα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 xml:space="preserve"> τελευταία</w:t>
      </w:r>
      <w:r w:rsidRPr="002D6A8E">
        <w:rPr>
          <w:rFonts w:asciiTheme="minorHAnsi" w:hAnsiTheme="minorHAnsi"/>
          <w:sz w:val="22"/>
          <w:szCs w:val="22"/>
          <w:lang w:val="el-GR"/>
        </w:rPr>
        <w:t xml:space="preserve"> στοιχεία της Έρευνας Εργατικού Δυναμικού, 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 xml:space="preserve">κατά το </w:t>
      </w:r>
      <w:r w:rsidR="006951DF" w:rsidRPr="002D6A8E">
        <w:rPr>
          <w:rFonts w:asciiTheme="minorHAnsi" w:hAnsiTheme="minorHAnsi"/>
          <w:sz w:val="22"/>
          <w:szCs w:val="22"/>
          <w:lang w:val="el-GR"/>
        </w:rPr>
        <w:t>3</w:t>
      </w:r>
      <w:r w:rsidR="00CC600A" w:rsidRPr="002D6A8E">
        <w:rPr>
          <w:rFonts w:asciiTheme="minorHAnsi" w:hAnsiTheme="minorHAnsi"/>
          <w:sz w:val="22"/>
          <w:szCs w:val="22"/>
          <w:vertAlign w:val="superscript"/>
          <w:lang w:val="el-GR"/>
        </w:rPr>
        <w:t>ο</w:t>
      </w:r>
      <w:r w:rsidR="00CC600A" w:rsidRPr="002D6A8E">
        <w:rPr>
          <w:rFonts w:asciiTheme="minorHAnsi" w:hAnsiTheme="minorHAnsi"/>
          <w:sz w:val="22"/>
          <w:szCs w:val="22"/>
          <w:lang w:val="el-GR"/>
        </w:rPr>
        <w:t xml:space="preserve"> τρίμηνο του 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>201</w:t>
      </w:r>
      <w:r w:rsidR="00CC600A" w:rsidRPr="002D6A8E">
        <w:rPr>
          <w:rFonts w:asciiTheme="minorHAnsi" w:hAnsiTheme="minorHAnsi"/>
          <w:sz w:val="22"/>
          <w:szCs w:val="22"/>
          <w:lang w:val="el-GR"/>
        </w:rPr>
        <w:t>8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 xml:space="preserve"> το ποσοστό ανεργίας διαμορφώθηκε στο </w:t>
      </w:r>
      <w:r w:rsidR="00CC600A" w:rsidRPr="002D6A8E">
        <w:rPr>
          <w:rFonts w:asciiTheme="minorHAnsi" w:hAnsiTheme="minorHAnsi"/>
          <w:sz w:val="22"/>
          <w:szCs w:val="22"/>
          <w:lang w:val="el-GR"/>
        </w:rPr>
        <w:t>7</w:t>
      </w:r>
      <w:r w:rsidR="00F500F1" w:rsidRPr="002D6A8E">
        <w:rPr>
          <w:rFonts w:asciiTheme="minorHAnsi" w:hAnsiTheme="minorHAnsi"/>
          <w:sz w:val="22"/>
          <w:szCs w:val="22"/>
          <w:lang w:val="el-GR"/>
        </w:rPr>
        <w:t>.</w:t>
      </w:r>
      <w:r w:rsidR="009D5A5D" w:rsidRPr="002D6A8E">
        <w:rPr>
          <w:rFonts w:asciiTheme="minorHAnsi" w:hAnsiTheme="minorHAnsi"/>
          <w:sz w:val="22"/>
          <w:szCs w:val="22"/>
          <w:lang w:val="el-GR"/>
        </w:rPr>
        <w:t>8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 xml:space="preserve">% </w:t>
      </w:r>
      <w:r w:rsidR="00C20E5B" w:rsidRPr="002D6A8E">
        <w:rPr>
          <w:rFonts w:asciiTheme="minorHAnsi" w:hAnsiTheme="minorHAnsi"/>
          <w:sz w:val="22"/>
          <w:szCs w:val="22"/>
          <w:lang w:val="el-GR"/>
        </w:rPr>
        <w:t xml:space="preserve">του εργατικού δυναμικού 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>(</w:t>
      </w:r>
      <w:r w:rsidR="00F500F1" w:rsidRPr="002D6A8E">
        <w:rPr>
          <w:rFonts w:asciiTheme="minorHAnsi" w:hAnsiTheme="minorHAnsi"/>
          <w:sz w:val="22"/>
          <w:szCs w:val="22"/>
          <w:lang w:val="el-GR"/>
        </w:rPr>
        <w:t>3</w:t>
      </w:r>
      <w:r w:rsidR="009D5A5D" w:rsidRPr="002D6A8E">
        <w:rPr>
          <w:rFonts w:asciiTheme="minorHAnsi" w:hAnsiTheme="minorHAnsi"/>
          <w:sz w:val="22"/>
          <w:szCs w:val="22"/>
          <w:lang w:val="el-GR"/>
        </w:rPr>
        <w:t>4</w:t>
      </w:r>
      <w:r w:rsidR="00C20E5B" w:rsidRPr="002D6A8E">
        <w:rPr>
          <w:rFonts w:asciiTheme="minorHAnsi" w:hAnsiTheme="minorHAnsi"/>
          <w:sz w:val="22"/>
          <w:szCs w:val="22"/>
          <w:lang w:val="el-GR"/>
        </w:rPr>
        <w:t>.</w:t>
      </w:r>
      <w:r w:rsidR="009D5A5D" w:rsidRPr="002D6A8E">
        <w:rPr>
          <w:rFonts w:asciiTheme="minorHAnsi" w:hAnsiTheme="minorHAnsi"/>
          <w:sz w:val="22"/>
          <w:szCs w:val="22"/>
          <w:lang w:val="el-GR"/>
        </w:rPr>
        <w:t>728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2D6A8E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 xml:space="preserve">) παρουσιάζοντας μείωση </w:t>
      </w:r>
      <w:r w:rsidR="00C20E5B" w:rsidRPr="002D6A8E">
        <w:rPr>
          <w:rFonts w:asciiTheme="minorHAnsi" w:hAnsiTheme="minorHAnsi"/>
          <w:sz w:val="22"/>
          <w:szCs w:val="22"/>
          <w:lang w:val="el-GR"/>
        </w:rPr>
        <w:t xml:space="preserve">κατά </w:t>
      </w:r>
      <w:r w:rsidR="009D5A5D" w:rsidRPr="002D6A8E">
        <w:rPr>
          <w:rFonts w:asciiTheme="minorHAnsi" w:hAnsiTheme="minorHAnsi"/>
          <w:sz w:val="22"/>
          <w:szCs w:val="22"/>
          <w:lang w:val="el-GR"/>
        </w:rPr>
        <w:t>2</w:t>
      </w:r>
      <w:r w:rsidR="00983931" w:rsidRPr="002D6A8E">
        <w:rPr>
          <w:rFonts w:asciiTheme="minorHAnsi" w:hAnsiTheme="minorHAnsi"/>
          <w:sz w:val="22"/>
          <w:szCs w:val="22"/>
          <w:lang w:val="el-GR"/>
        </w:rPr>
        <w:t>,</w:t>
      </w:r>
      <w:r w:rsidR="009D5A5D" w:rsidRPr="002D6A8E">
        <w:rPr>
          <w:rFonts w:asciiTheme="minorHAnsi" w:hAnsiTheme="minorHAnsi"/>
          <w:sz w:val="22"/>
          <w:szCs w:val="22"/>
          <w:lang w:val="el-GR"/>
        </w:rPr>
        <w:t>2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</w:t>
      </w:r>
      <w:r w:rsidR="00CC600A" w:rsidRPr="002D6A8E">
        <w:rPr>
          <w:rFonts w:asciiTheme="minorHAnsi" w:hAnsiTheme="minorHAnsi"/>
          <w:sz w:val="22"/>
          <w:szCs w:val="22"/>
          <w:lang w:val="el-GR"/>
        </w:rPr>
        <w:t>ίδιο τρίμηνο του 2017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 xml:space="preserve"> που ήταν 1</w:t>
      </w:r>
      <w:r w:rsidR="009D5A5D" w:rsidRPr="002D6A8E">
        <w:rPr>
          <w:rFonts w:asciiTheme="minorHAnsi" w:hAnsiTheme="minorHAnsi"/>
          <w:sz w:val="22"/>
          <w:szCs w:val="22"/>
          <w:lang w:val="el-GR"/>
        </w:rPr>
        <w:t>0.0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>% (</w:t>
      </w:r>
      <w:r w:rsidR="00F500F1" w:rsidRPr="002D6A8E">
        <w:rPr>
          <w:rFonts w:asciiTheme="minorHAnsi" w:hAnsiTheme="minorHAnsi"/>
          <w:sz w:val="22"/>
          <w:szCs w:val="22"/>
          <w:lang w:val="el-GR"/>
        </w:rPr>
        <w:t>4</w:t>
      </w:r>
      <w:r w:rsidR="009D5A5D" w:rsidRPr="002D6A8E">
        <w:rPr>
          <w:rFonts w:asciiTheme="minorHAnsi" w:hAnsiTheme="minorHAnsi"/>
          <w:sz w:val="22"/>
          <w:szCs w:val="22"/>
          <w:lang w:val="el-GR"/>
        </w:rPr>
        <w:t>2</w:t>
      </w:r>
      <w:r w:rsidR="00F500F1" w:rsidRPr="002D6A8E">
        <w:rPr>
          <w:rFonts w:asciiTheme="minorHAnsi" w:hAnsiTheme="minorHAnsi"/>
          <w:sz w:val="22"/>
          <w:szCs w:val="22"/>
          <w:lang w:val="el-GR"/>
        </w:rPr>
        <w:t>.</w:t>
      </w:r>
      <w:r w:rsidR="009D5A5D" w:rsidRPr="002D6A8E">
        <w:rPr>
          <w:rFonts w:asciiTheme="minorHAnsi" w:hAnsiTheme="minorHAnsi"/>
          <w:sz w:val="22"/>
          <w:szCs w:val="22"/>
          <w:lang w:val="el-GR"/>
        </w:rPr>
        <w:t>526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455613" w:rsidRPr="002D6A8E">
        <w:rPr>
          <w:rFonts w:asciiTheme="minorHAnsi" w:hAnsiTheme="minorHAnsi"/>
          <w:sz w:val="22"/>
          <w:szCs w:val="22"/>
          <w:lang w:val="el-GR"/>
        </w:rPr>
        <w:t>άτομα</w:t>
      </w:r>
      <w:r w:rsidR="00DF31B2" w:rsidRPr="002D6A8E">
        <w:rPr>
          <w:rFonts w:asciiTheme="minorHAnsi" w:hAnsiTheme="minorHAnsi"/>
          <w:sz w:val="22"/>
          <w:szCs w:val="22"/>
          <w:lang w:val="el-GR"/>
        </w:rPr>
        <w:t xml:space="preserve">). </w:t>
      </w:r>
    </w:p>
    <w:p w:rsidR="007B0395" w:rsidRPr="002D6A8E" w:rsidRDefault="007B0395" w:rsidP="007B0395">
      <w:pPr>
        <w:spacing w:after="240"/>
        <w:jc w:val="both"/>
        <w:rPr>
          <w:rFonts w:ascii="Calibri" w:hAnsi="Calibri"/>
          <w:b/>
          <w:bCs/>
          <w:spacing w:val="4"/>
          <w:sz w:val="22"/>
          <w:szCs w:val="22"/>
          <w:lang w:val="el-GR"/>
        </w:rPr>
      </w:pPr>
      <w:r w:rsidRPr="002D6A8E">
        <w:rPr>
          <w:rFonts w:ascii="Calibri" w:hAnsi="Calibri"/>
          <w:sz w:val="22"/>
          <w:szCs w:val="22"/>
          <w:lang w:val="el-GR"/>
        </w:rPr>
        <w:t>Σε σχέση με τα προηγούμενα χρόνια ο</w:t>
      </w:r>
      <w:r w:rsidRPr="002D6A8E">
        <w:rPr>
          <w:rFonts w:ascii="Calibri" w:hAnsi="Calibri"/>
          <w:spacing w:val="4"/>
          <w:sz w:val="22"/>
          <w:szCs w:val="22"/>
          <w:lang w:val="el-GR"/>
        </w:rPr>
        <w:t xml:space="preserve"> μέσος όρος </w:t>
      </w:r>
      <w:r w:rsidR="00C20E5B" w:rsidRPr="002D6A8E">
        <w:rPr>
          <w:rFonts w:ascii="Calibri" w:hAnsi="Calibri"/>
          <w:spacing w:val="4"/>
          <w:sz w:val="22"/>
          <w:szCs w:val="22"/>
          <w:lang w:val="el-GR"/>
        </w:rPr>
        <w:t xml:space="preserve">ανεργίας </w:t>
      </w:r>
      <w:r w:rsidR="00421F8B" w:rsidRPr="002D6A8E">
        <w:rPr>
          <w:rFonts w:ascii="Calibri" w:hAnsi="Calibri"/>
          <w:spacing w:val="4"/>
          <w:sz w:val="22"/>
          <w:szCs w:val="22"/>
          <w:lang w:val="el-GR"/>
        </w:rPr>
        <w:t xml:space="preserve">κατά </w:t>
      </w:r>
      <w:r w:rsidR="00CC600A" w:rsidRPr="002D6A8E">
        <w:rPr>
          <w:rFonts w:ascii="Calibri" w:hAnsi="Calibri"/>
          <w:spacing w:val="4"/>
          <w:sz w:val="22"/>
          <w:szCs w:val="22"/>
          <w:lang w:val="el-GR"/>
        </w:rPr>
        <w:t xml:space="preserve">το 2017 ήταν 11,0%, </w:t>
      </w:r>
      <w:r w:rsidR="00921803" w:rsidRPr="002D6A8E">
        <w:rPr>
          <w:rFonts w:ascii="Calibri" w:hAnsi="Calibri"/>
          <w:spacing w:val="4"/>
          <w:sz w:val="22"/>
          <w:szCs w:val="22"/>
          <w:lang w:val="el-GR"/>
        </w:rPr>
        <w:t xml:space="preserve">το 2016 ήταν 12,9%, </w:t>
      </w:r>
      <w:r w:rsidR="00260731" w:rsidRPr="002D6A8E">
        <w:rPr>
          <w:rFonts w:ascii="Calibri" w:hAnsi="Calibri"/>
          <w:spacing w:val="4"/>
          <w:sz w:val="22"/>
          <w:szCs w:val="22"/>
          <w:lang w:val="el-GR"/>
        </w:rPr>
        <w:t xml:space="preserve">το 2015 ήταν 14,9%, </w:t>
      </w:r>
      <w:r w:rsidRPr="002D6A8E">
        <w:rPr>
          <w:rFonts w:ascii="Calibri" w:hAnsi="Calibri"/>
          <w:spacing w:val="4"/>
          <w:sz w:val="22"/>
          <w:szCs w:val="22"/>
          <w:lang w:val="el-GR"/>
        </w:rPr>
        <w:t xml:space="preserve">το 2014 ήταν 16,1%, </w:t>
      </w:r>
      <w:r w:rsidR="00421F8B" w:rsidRPr="002D6A8E">
        <w:rPr>
          <w:rFonts w:ascii="Calibri" w:hAnsi="Calibri"/>
          <w:spacing w:val="4"/>
          <w:sz w:val="22"/>
          <w:szCs w:val="22"/>
          <w:lang w:val="el-GR"/>
        </w:rPr>
        <w:t>και το</w:t>
      </w:r>
      <w:r w:rsidRPr="002D6A8E">
        <w:rPr>
          <w:rFonts w:ascii="Calibri" w:hAnsi="Calibri"/>
          <w:spacing w:val="4"/>
          <w:sz w:val="22"/>
          <w:szCs w:val="22"/>
          <w:lang w:val="el-GR"/>
        </w:rPr>
        <w:t xml:space="preserve"> 2013 ήταν 15,9%.</w:t>
      </w:r>
    </w:p>
    <w:p w:rsidR="00313C48" w:rsidRPr="002D6A8E" w:rsidRDefault="00CC600A" w:rsidP="00767448">
      <w:pPr>
        <w:spacing w:after="240"/>
        <w:jc w:val="both"/>
        <w:rPr>
          <w:rFonts w:ascii="Calibri" w:eastAsia="Calibri" w:hAnsi="Calibri"/>
          <w:b/>
          <w:bCs/>
          <w:spacing w:val="4"/>
          <w:sz w:val="22"/>
          <w:szCs w:val="22"/>
          <w:lang w:val="el-GR"/>
        </w:rPr>
      </w:pP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ποσοστό ανεργίας στους νέους 15-24 ετών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διαμορφώθηκε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</w:t>
      </w:r>
      <w:r w:rsidR="00F500F1" w:rsidRPr="002D6A8E">
        <w:rPr>
          <w:rFonts w:ascii="Calibri" w:eastAsia="Calibri" w:hAnsi="Calibri"/>
          <w:spacing w:val="4"/>
          <w:sz w:val="22"/>
          <w:szCs w:val="22"/>
          <w:lang w:val="el-GR"/>
        </w:rPr>
        <w:t>17,</w:t>
      </w:r>
      <w:r w:rsidR="00A716C7" w:rsidRPr="002D6A8E">
        <w:rPr>
          <w:rFonts w:ascii="Calibri" w:eastAsia="Calibri" w:hAnsi="Calibri"/>
          <w:spacing w:val="4"/>
          <w:sz w:val="22"/>
          <w:szCs w:val="22"/>
          <w:lang w:val="el-GR"/>
        </w:rPr>
        <w:t>0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% το </w:t>
      </w:r>
      <w:r w:rsidR="009D5A5D" w:rsidRPr="002D6A8E">
        <w:rPr>
          <w:rFonts w:ascii="Calibri" w:eastAsia="Calibri" w:hAnsi="Calibri"/>
          <w:spacing w:val="4"/>
          <w:sz w:val="22"/>
          <w:szCs w:val="22"/>
          <w:lang w:val="el-GR"/>
        </w:rPr>
        <w:t>3</w:t>
      </w:r>
      <w:r w:rsidRPr="002D6A8E">
        <w:rPr>
          <w:rFonts w:ascii="Calibri" w:eastAsia="Calibri" w:hAnsi="Calibri"/>
          <w:spacing w:val="4"/>
          <w:sz w:val="22"/>
          <w:szCs w:val="22"/>
          <w:vertAlign w:val="superscript"/>
          <w:lang w:val="el-GR"/>
        </w:rPr>
        <w:t>ο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τρίμηνο του 2018, </w:t>
      </w:r>
      <w:r w:rsidRPr="002D6A8E">
        <w:rPr>
          <w:rFonts w:asciiTheme="minorHAnsi" w:hAnsiTheme="minorHAnsi"/>
          <w:sz w:val="22"/>
          <w:szCs w:val="22"/>
          <w:lang w:val="el-GR"/>
        </w:rPr>
        <w:t xml:space="preserve">παρουσιάζοντας μείωση κατά </w:t>
      </w:r>
      <w:r w:rsidR="00A716C7" w:rsidRPr="002D6A8E">
        <w:rPr>
          <w:rFonts w:asciiTheme="minorHAnsi" w:hAnsiTheme="minorHAnsi"/>
          <w:sz w:val="22"/>
          <w:szCs w:val="22"/>
          <w:lang w:val="el-GR"/>
        </w:rPr>
        <w:t>6,9</w:t>
      </w:r>
      <w:r w:rsidRPr="002D6A8E">
        <w:rPr>
          <w:rFonts w:asciiTheme="minorHAnsi" w:hAnsiTheme="minorHAnsi"/>
          <w:sz w:val="22"/>
          <w:szCs w:val="22"/>
          <w:lang w:val="el-GR"/>
        </w:rPr>
        <w:t xml:space="preserve"> ποσοστιαίες μονάδες σε σχέση με το ίδιο τρίμηνο του 2017 που ήταν 2</w:t>
      </w:r>
      <w:r w:rsidR="00A716C7" w:rsidRPr="002D6A8E">
        <w:rPr>
          <w:rFonts w:asciiTheme="minorHAnsi" w:hAnsiTheme="minorHAnsi"/>
          <w:sz w:val="22"/>
          <w:szCs w:val="22"/>
          <w:lang w:val="el-GR"/>
        </w:rPr>
        <w:t>3</w:t>
      </w:r>
      <w:r w:rsidRPr="002D6A8E">
        <w:rPr>
          <w:rFonts w:asciiTheme="minorHAnsi" w:hAnsiTheme="minorHAnsi"/>
          <w:sz w:val="22"/>
          <w:szCs w:val="22"/>
          <w:lang w:val="el-GR"/>
        </w:rPr>
        <w:t>,</w:t>
      </w:r>
      <w:r w:rsidR="00A716C7" w:rsidRPr="002D6A8E">
        <w:rPr>
          <w:rFonts w:asciiTheme="minorHAnsi" w:hAnsiTheme="minorHAnsi"/>
          <w:sz w:val="22"/>
          <w:szCs w:val="22"/>
          <w:lang w:val="el-GR"/>
        </w:rPr>
        <w:t>9</w:t>
      </w:r>
      <w:r w:rsidRPr="002D6A8E">
        <w:rPr>
          <w:rFonts w:asciiTheme="minorHAnsi" w:hAnsiTheme="minorHAnsi"/>
          <w:sz w:val="22"/>
          <w:szCs w:val="22"/>
          <w:lang w:val="el-GR"/>
        </w:rPr>
        <w:t>%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.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Κατά μέσο όρο το ποσοστό ανεργίας στους νέους 15-24 ετών το 2017 </w:t>
      </w:r>
      <w:r w:rsidRPr="002D6A8E">
        <w:rPr>
          <w:rFonts w:ascii="Calibri" w:eastAsia="Calibri" w:hAnsi="Calibri"/>
          <w:spacing w:val="4"/>
          <w:sz w:val="22"/>
          <w:szCs w:val="22"/>
          <w:lang w:val="el-GR"/>
        </w:rPr>
        <w:t>είχε φτάσει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2</w:t>
      </w:r>
      <w:r w:rsidR="007B0395" w:rsidRPr="002D6A8E">
        <w:rPr>
          <w:rFonts w:ascii="Calibri" w:eastAsia="Calibri" w:hAnsi="Calibri"/>
          <w:bCs/>
          <w:spacing w:val="4"/>
          <w:sz w:val="22"/>
          <w:szCs w:val="22"/>
          <w:lang w:val="el-GR"/>
        </w:rPr>
        <w:t>4,7</w:t>
      </w:r>
      <w:r w:rsidR="00541011" w:rsidRPr="002D6A8E">
        <w:rPr>
          <w:rFonts w:ascii="Calibri" w:eastAsia="Calibri" w:hAnsi="Calibri"/>
          <w:spacing w:val="4"/>
          <w:sz w:val="22"/>
          <w:szCs w:val="22"/>
          <w:lang w:val="el-GR"/>
        </w:rPr>
        <w:t>%</w:t>
      </w:r>
      <w:r w:rsidR="00F500F1" w:rsidRPr="002D6A8E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541011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το 2016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στο 29,1%</w:t>
      </w:r>
      <w:r w:rsidR="00F500F1" w:rsidRPr="002D6A8E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260731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2015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στο</w:t>
      </w:r>
      <w:r w:rsidR="00CF403A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32,8%</w:t>
      </w:r>
      <w:r w:rsidR="00541011" w:rsidRPr="002D6A8E">
        <w:rPr>
          <w:rFonts w:ascii="Calibri" w:eastAsia="Calibri" w:hAnsi="Calibri"/>
          <w:spacing w:val="4"/>
          <w:sz w:val="22"/>
          <w:szCs w:val="22"/>
          <w:lang w:val="el-GR"/>
        </w:rPr>
        <w:t>,</w:t>
      </w:r>
      <w:r w:rsidR="00CF403A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>το 2014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στο 36,0%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 και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το 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 xml:space="preserve">2013 </w:t>
      </w:r>
      <w:r w:rsidR="00421F8B" w:rsidRPr="002D6A8E">
        <w:rPr>
          <w:rFonts w:ascii="Calibri" w:eastAsia="Calibri" w:hAnsi="Calibri"/>
          <w:spacing w:val="4"/>
          <w:sz w:val="22"/>
          <w:szCs w:val="22"/>
          <w:lang w:val="el-GR"/>
        </w:rPr>
        <w:t>στο 38,9%</w:t>
      </w:r>
      <w:r w:rsidR="007B0395" w:rsidRPr="002D6A8E">
        <w:rPr>
          <w:rFonts w:ascii="Calibri" w:eastAsia="Calibri" w:hAnsi="Calibri"/>
          <w:spacing w:val="4"/>
          <w:sz w:val="22"/>
          <w:szCs w:val="22"/>
          <w:lang w:val="el-GR"/>
        </w:rPr>
        <w:t>.</w:t>
      </w:r>
    </w:p>
    <w:p w:rsidR="006951DF" w:rsidRPr="00FC35FE" w:rsidRDefault="006951DF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9D5A5D" w:rsidRPr="00FC35FE" w:rsidRDefault="009D5A5D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</w:p>
    <w:p w:rsidR="008C5C74" w:rsidRPr="00A45988" w:rsidRDefault="000C1C44" w:rsidP="00C604C3">
      <w:pPr>
        <w:spacing w:after="0" w:line="240" w:lineRule="auto"/>
        <w:rPr>
          <w:rFonts w:asciiTheme="minorHAnsi" w:hAnsiTheme="minorHAnsi" w:cs="Arial"/>
          <w:b/>
          <w:sz w:val="22"/>
          <w:szCs w:val="22"/>
          <w:u w:val="single"/>
          <w:lang w:val="el-GR"/>
        </w:rPr>
      </w:pPr>
      <w:r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lastRenderedPageBreak/>
        <w:t>Γ</w:t>
      </w:r>
      <w:r w:rsidR="008C5C74" w:rsidRPr="00A45988">
        <w:rPr>
          <w:rFonts w:asciiTheme="minorHAnsi" w:hAnsiTheme="minorHAnsi" w:cs="Arial"/>
          <w:b/>
          <w:sz w:val="22"/>
          <w:szCs w:val="22"/>
          <w:u w:val="single"/>
          <w:lang w:val="el-GR"/>
        </w:rPr>
        <w:t xml:space="preserve">.  Εγγεγραμμένη ανεργία </w:t>
      </w:r>
    </w:p>
    <w:p w:rsidR="004C05CF" w:rsidRPr="007E1DC5" w:rsidRDefault="004C05CF" w:rsidP="00C604C3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  <w:lang w:val="el-GR"/>
        </w:rPr>
      </w:pPr>
    </w:p>
    <w:p w:rsidR="008C5C74" w:rsidRPr="00DB3551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Σύγκριση μεταξύ 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Ιανουαρίου</w:t>
      </w:r>
      <w:r w:rsidR="00385058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396F58" w:rsidRPr="00DB3551">
        <w:rPr>
          <w:rFonts w:asciiTheme="minorHAnsi" w:hAnsiTheme="minorHAnsi" w:cs="Arial"/>
          <w:i/>
          <w:iCs/>
          <w:color w:val="auto"/>
          <w:lang w:val="el-GR"/>
        </w:rPr>
        <w:t>τ</w:t>
      </w:r>
      <w:r w:rsidR="00230259" w:rsidRPr="00DB3551">
        <w:rPr>
          <w:rFonts w:asciiTheme="minorHAnsi" w:hAnsiTheme="minorHAnsi" w:cs="Arial"/>
          <w:i/>
          <w:iCs/>
          <w:color w:val="auto"/>
          <w:lang w:val="el-GR"/>
        </w:rPr>
        <w:t>ου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8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="00AE7F8E" w:rsidRPr="00DB3551">
        <w:rPr>
          <w:rFonts w:asciiTheme="minorHAnsi" w:hAnsiTheme="minorHAnsi" w:cs="Arial"/>
          <w:i/>
          <w:iCs/>
          <w:color w:val="auto"/>
          <w:lang w:val="el-GR"/>
        </w:rPr>
        <w:t>και</w:t>
      </w:r>
      <w:r w:rsidR="00B91EEE" w:rsidRPr="00DB3551">
        <w:rPr>
          <w:rFonts w:asciiTheme="minorHAnsi" w:hAnsiTheme="minorHAnsi" w:cs="Arial"/>
          <w:i/>
          <w:iCs/>
          <w:color w:val="auto"/>
          <w:lang w:val="el-GR"/>
        </w:rPr>
        <w:t xml:space="preserve"> </w:t>
      </w:r>
      <w:r w:rsidRPr="00DB3551">
        <w:rPr>
          <w:rFonts w:asciiTheme="minorHAnsi" w:hAnsiTheme="minorHAnsi" w:cs="Arial"/>
          <w:i/>
          <w:iCs/>
          <w:color w:val="auto"/>
          <w:lang w:val="el-GR"/>
        </w:rPr>
        <w:t>201</w:t>
      </w:r>
      <w:r w:rsidR="0012440D">
        <w:rPr>
          <w:rFonts w:asciiTheme="minorHAnsi" w:hAnsiTheme="minorHAnsi" w:cs="Arial"/>
          <w:i/>
          <w:iCs/>
          <w:color w:val="auto"/>
          <w:lang w:val="el-GR"/>
        </w:rPr>
        <w:t>9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(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DB355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8C5C74" w:rsidRPr="00A45988" w:rsidRDefault="008C5C74" w:rsidP="00235E23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16"/>
          <w:szCs w:val="16"/>
          <w:lang w:val="el-GR"/>
        </w:rPr>
      </w:pPr>
    </w:p>
    <w:p w:rsidR="008C5C74" w:rsidRPr="00A45988" w:rsidRDefault="00750DB9" w:rsidP="00D1317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Μείωση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του αριθμού </w:t>
      </w:r>
      <w:r w:rsidR="006722C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30.951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</w:t>
      </w:r>
      <w:r w:rsidR="0051331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074BD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E278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989</w:t>
      </w:r>
      <w:r w:rsidR="00B91EE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641D5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το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ν αντίστοιχο μήνα του 201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CB3A9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="00B22D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ση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4,0</w:t>
      </w:r>
      <w:r w:rsidR="005C039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6121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E2782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5.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038</w:t>
      </w:r>
      <w:r w:rsidR="00953CA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η συνεχής καθοδική τάση της μηνιαίας εγγεγραμμένης ανεργίας η οποία παρατηρείται για 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περίοδο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9D03F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D1317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τριών χρόνων. </w:t>
      </w:r>
      <w:r w:rsidR="00CE7B4D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</w:p>
    <w:p w:rsidR="00DB660D" w:rsidRPr="00A45988" w:rsidRDefault="00625824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ανήλθε 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A4458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150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</w:t>
      </w:r>
      <w:r w:rsidR="005E379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στα</w:t>
      </w:r>
      <w:r w:rsidR="005D057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2020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16476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38505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5A1F2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801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</w:t>
      </w:r>
      <w:r w:rsidR="002C3CE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αντρών μειώθηκε κατά </w:t>
      </w:r>
      <w:r w:rsidR="00FF0C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2.568</w:t>
      </w:r>
      <w:r w:rsidR="002F155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FF0C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</w:t>
      </w:r>
      <w:r w:rsidR="00243B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γυναικών</w:t>
      </w:r>
      <w:r w:rsidR="00755C8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μειώθηκε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</w:t>
      </w:r>
      <w:r w:rsidR="00FF0C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470</w:t>
      </w:r>
      <w:r w:rsidR="00F448B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</w:t>
      </w:r>
      <w:r w:rsidR="00D365BD" w:rsidRPr="00D365B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FF0C4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ED32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92180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</w:t>
      </w:r>
      <w:r w:rsidR="00146A99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εγγεγραμμένων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ανέργων (σύνολο και κατά φύλο)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BC3BA0" w:rsidRPr="00A45988" w:rsidRDefault="00C85868" w:rsidP="00A157AB">
      <w:pPr>
        <w:pStyle w:val="ListParagraph"/>
        <w:spacing w:after="200" w:line="276" w:lineRule="auto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noProof/>
        </w:rPr>
        <w:drawing>
          <wp:inline distT="0" distB="0" distL="0" distR="0" wp14:anchorId="7B3B3A30" wp14:editId="2EF1C055">
            <wp:extent cx="5220929" cy="2546555"/>
            <wp:effectExtent l="0" t="0" r="18415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5C74" w:rsidRPr="00241A36" w:rsidRDefault="00ED321E" w:rsidP="00A820F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E54D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μεγαλύτερη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170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αριθμητική </w:t>
      </w:r>
      <w:r w:rsidR="00755C8B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>μείωση</w:t>
      </w:r>
      <w:r w:rsidR="005B52B7" w:rsidRPr="00A45988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ις</w:t>
      </w:r>
      <w:r w:rsidR="005B52B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C5C74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επαρχί</w:t>
      </w:r>
      <w:r w:rsidR="00294FF9" w:rsidRPr="00A45988">
        <w:rPr>
          <w:rFonts w:asciiTheme="minorHAnsi" w:hAnsiTheme="minorHAnsi" w:cs="Arial"/>
          <w:color w:val="auto"/>
          <w:sz w:val="22"/>
          <w:szCs w:val="22"/>
          <w:lang w:val="el-GR"/>
        </w:rPr>
        <w:t>ες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C913E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Λεμεσού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Λευκωσίας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Πάφου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EA2B3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2.155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F4C8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A528E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F64D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482</w:t>
      </w:r>
      <w:r w:rsidR="00E458E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 και </w:t>
      </w:r>
      <w:r w:rsidR="00CF403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054</w:t>
      </w:r>
      <w:r w:rsidR="000339A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αντίστοιχα</w:t>
      </w:r>
      <w:r w:rsidR="0085253B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ενώ στην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="00294FF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428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Λάρνακας</w:t>
      </w:r>
      <w:r w:rsidR="00C9124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 μείωση ήταν</w:t>
      </w:r>
      <w:r w:rsidR="000208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658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 Η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επαρχία Αμμοχώστου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παρουσίασε αύξηση </w:t>
      </w:r>
      <w:r w:rsidR="003476F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4115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311</w:t>
      </w:r>
      <w:r w:rsidR="001965A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43C9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74677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A820F2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</w:t>
      </w:r>
      <w:r w:rsidR="007A4A0E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241A36" w:rsidRPr="00A45988" w:rsidRDefault="00C85868" w:rsidP="00241A3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 wp14:anchorId="63AE76BD" wp14:editId="3150DB31">
            <wp:extent cx="5329084" cy="2349909"/>
            <wp:effectExtent l="0" t="0" r="2413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56A0" w:rsidRPr="007968E5" w:rsidRDefault="008C5C74" w:rsidP="00EF56A0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lastRenderedPageBreak/>
        <w:t xml:space="preserve">Οι μεγαλύτερες αριθμητικές </w:t>
      </w:r>
      <w:r w:rsidR="00C01FDA"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515A09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515A09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515A09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μήνα του 201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="00696F9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τομέα των νεοεισερχομένων (κατά 1.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38</w:t>
      </w:r>
      <w:r w:rsidR="0034149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D40BB5" w:rsidRPr="00515A09">
        <w:rPr>
          <w:rFonts w:asciiTheme="minorHAnsi" w:eastAsia="Times New Roman" w:hAnsiTheme="minorHAnsi" w:cs="Arial"/>
          <w:color w:val="auto"/>
          <w:sz w:val="22"/>
          <w:szCs w:val="22"/>
          <w:lang w:val="el-GR"/>
        </w:rPr>
        <w:t xml:space="preserve"> 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του εμπορίου (κατά 1</w:t>
      </w:r>
      <w:r w:rsidR="00CD34E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58</w:t>
      </w:r>
      <w:r w:rsidR="00D40BB5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D40BB5" w:rsidRPr="00515A09">
        <w:rPr>
          <w:rFonts w:asciiTheme="minorHAnsi" w:hAnsiTheme="minorHAnsi" w:cs="Arial"/>
          <w:color w:val="auto"/>
          <w:sz w:val="22"/>
          <w:szCs w:val="22"/>
          <w:lang w:val="el-GR"/>
        </w:rPr>
        <w:t>,</w:t>
      </w:r>
      <w:r w:rsidR="009B2FF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E01C4" w:rsidRPr="00664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της Δημόσιας Διοίκησης (κατά 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583</w:t>
      </w:r>
      <w:r w:rsidR="008E01C4" w:rsidRPr="006642C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8E01C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ων ξενοδοχείων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(κατά 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578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στον τομέα των υπηρεσιών (κατά 55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της μεταποίησης (κατά 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537</w:t>
      </w:r>
      <w:r w:rsidR="007C4957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="00FE757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στο</w:t>
      </w:r>
      <w:r w:rsidR="00E458E3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ν τομέα των κατασκευών (κατά </w:t>
      </w:r>
      <w:r w:rsidR="007C495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52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FE757C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250A89" w:rsidRPr="00250A8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 παρουσ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ίασε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 τομέα</w:t>
      </w:r>
      <w:r w:rsid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ς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των τραπεζών (κατά </w:t>
      </w:r>
      <w:r w:rsidR="002E061A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624</w:t>
      </w:r>
      <w:r w:rsidR="00515A09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άτομα).</w:t>
      </w:r>
      <w:r w:rsidR="008D7780" w:rsidRPr="00515A0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</w:t>
      </w:r>
      <w:r w:rsidR="007A4A0E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515A0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7968E5" w:rsidRPr="007968E5" w:rsidRDefault="00C85868" w:rsidP="007968E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025E7EFD" wp14:editId="137468D0">
            <wp:extent cx="5506064" cy="2792361"/>
            <wp:effectExtent l="0" t="0" r="19050" b="2730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7103" w:rsidRPr="00A45988" w:rsidRDefault="00267103" w:rsidP="00267103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A45988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</w:t>
      </w:r>
      <w:r w:rsidR="00594C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</w:t>
      </w:r>
      <w:r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</w:t>
      </w:r>
      <w:r w:rsidR="000E03C9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</w:t>
      </w:r>
      <w:r w:rsidR="00B37F4C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νεοεισερχόμενους (κατά 1</w:t>
      </w:r>
      <w:r w:rsidR="00B37F4C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7E114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38</w:t>
      </w:r>
      <w:r w:rsidR="00B37F4C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594C97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υπαλλήλους υπηρεσιών και 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πωλητές (κατά 1.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101</w:t>
      </w:r>
      <w:r w:rsidR="00594C97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B37F4C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868C4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στους ανειδίκευτους εργάτες (κατά 1.</w:t>
      </w:r>
      <w:r w:rsidR="00594C97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056</w:t>
      </w:r>
      <w:r w:rsidR="009868C4" w:rsidRPr="00A4598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 w:rsidR="007E1148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>και</w:t>
      </w:r>
      <w:r w:rsidR="009868C4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868C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ειδικευμένους τεχνίτες (κατά </w:t>
      </w:r>
      <w:r w:rsidR="00594C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485</w:t>
      </w:r>
      <w:r w:rsidR="009868C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 w:rsidR="00936B8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</w:t>
      </w:r>
    </w:p>
    <w:p w:rsidR="00931293" w:rsidRPr="00A45988" w:rsidRDefault="00C85868" w:rsidP="00931293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 wp14:anchorId="3827649E" wp14:editId="3346D13F">
            <wp:extent cx="5565058" cy="2880851"/>
            <wp:effectExtent l="0" t="0" r="17145" b="152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0BB5" w:rsidRPr="00A45988" w:rsidRDefault="00D40BB5" w:rsidP="00D40BB5">
      <w:pPr>
        <w:ind w:left="360"/>
        <w:jc w:val="center"/>
        <w:rPr>
          <w:rFonts w:asciiTheme="minorHAnsi" w:hAnsiTheme="minorHAnsi" w:cs="Arial"/>
          <w:sz w:val="22"/>
          <w:szCs w:val="22"/>
          <w:lang w:val="el-GR"/>
        </w:rPr>
      </w:pPr>
    </w:p>
    <w:p w:rsidR="009816D4" w:rsidRPr="009E4EDC" w:rsidRDefault="005539CB" w:rsidP="009B686D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Οι μεγαλύτερες μειώσεις παρουσιάστηκαν στις 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ηλικιακ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ές</w:t>
      </w:r>
      <w:r w:rsidR="00330DD6"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 ομάδ</w:t>
      </w:r>
      <w:r w:rsidRPr="00885B3C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ες</w:t>
      </w:r>
      <w:r w:rsidR="007432FB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D518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30-39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ετών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(μ</w:t>
      </w:r>
      <w:r w:rsidR="00060DE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είωση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</w:t>
      </w:r>
      <w:r w:rsidR="008B6614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E4ED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B343F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678</w:t>
      </w:r>
      <w:r w:rsidR="00330DD6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BD3B4E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BC5DBD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339AA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ηλικιακή ομάδα </w:t>
      </w:r>
      <w:r w:rsidR="00B343F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25-2</w:t>
      </w:r>
      <w:r w:rsidR="000339AA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9 ετών (μείωση κατά </w:t>
      </w:r>
      <w:r w:rsidR="00B343F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906</w:t>
      </w:r>
      <w:r w:rsidR="000339AA" w:rsidRPr="00885B3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B343F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και 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στην ηλικιακή ομάδα 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40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-</w:t>
      </w:r>
      <w:r w:rsidR="0005302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</w:t>
      </w:r>
      <w:r w:rsidR="00213C5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ετών (μείωση κατά </w:t>
      </w:r>
      <w:r w:rsidR="00B343F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901</w:t>
      </w:r>
      <w:r w:rsidR="00213C5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άτομα)</w:t>
      </w:r>
      <w:r w:rsidR="008D7780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Στο διάγραμμα που ακολουθεί παρουσιάζεται η διακύμανση του αριθμού των ανέργων 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κατά 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ηλικιακ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ή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ομάδ</w:t>
      </w:r>
      <w:r w:rsidR="00B15C2A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α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τους τελευταίους 1</w:t>
      </w:r>
      <w:r w:rsidR="007A4A0E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885B3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  <w:r w:rsidR="009816D4" w:rsidRPr="00885B3C">
        <w:rPr>
          <w:noProof/>
          <w:color w:val="auto"/>
          <w:lang w:val="el-GR"/>
        </w:rPr>
        <w:t xml:space="preserve"> </w:t>
      </w:r>
    </w:p>
    <w:p w:rsidR="009E4EDC" w:rsidRPr="00885B3C" w:rsidRDefault="00C85868" w:rsidP="003805FF">
      <w:pPr>
        <w:pStyle w:val="ListParagraph"/>
        <w:spacing w:after="200" w:line="276" w:lineRule="auto"/>
        <w:ind w:left="360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 wp14:anchorId="61E017C3" wp14:editId="2B41FB4C">
            <wp:extent cx="5643716" cy="3067664"/>
            <wp:effectExtent l="0" t="0" r="14605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686D" w:rsidRPr="0025098B" w:rsidRDefault="009B686D" w:rsidP="009B686D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b w:val="0"/>
          <w:color w:val="auto"/>
          <w:sz w:val="4"/>
          <w:szCs w:val="4"/>
          <w:lang w:val="el-GR"/>
        </w:rPr>
      </w:pPr>
    </w:p>
    <w:p w:rsidR="008807E0" w:rsidRPr="00EC12F6" w:rsidRDefault="008C5C74" w:rsidP="00FD518D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b w:val="0"/>
          <w:color w:val="auto"/>
          <w:lang w:val="el-GR"/>
        </w:rPr>
      </w:pP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από 6 μήνες έφτασε 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τα</w:t>
      </w:r>
      <w:r w:rsidR="00093F6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EC12F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8</w:t>
      </w:r>
      <w:r w:rsidR="00587267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AC419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509</w:t>
      </w:r>
      <w:r w:rsidR="0040641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(μείωση</w:t>
      </w:r>
      <w:r w:rsidR="007432FB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4.</w:t>
      </w:r>
      <w:r w:rsidR="00AC419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593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σε σχέση με τον ίδιο μήνα πέρσι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146A99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</w:t>
      </w:r>
      <w:r w:rsidR="000412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AC419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28</w:t>
      </w:r>
      <w:r w:rsidR="00CA3B58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 του συνόλου των εγγεγραμμένων ανέργων</w:t>
      </w:r>
      <w:r w:rsidR="00980805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D03034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="00A16DD4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</w:t>
      </w:r>
      <w:r w:rsidR="00D223DF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5.</w:t>
      </w:r>
      <w:r w:rsidR="00AC419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313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 (</w:t>
      </w:r>
      <w:r w:rsidR="004B7D26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μείωση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κατά </w:t>
      </w:r>
      <w:r w:rsidR="00D03034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3.</w:t>
      </w:r>
      <w:r w:rsidR="002024A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8</w:t>
      </w:r>
      <w:r w:rsidR="00AC419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13</w:t>
      </w:r>
      <w:r w:rsidR="00093F6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άτομα</w:t>
      </w:r>
      <w:r w:rsidR="0017643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)</w:t>
      </w:r>
      <w:r w:rsidR="00041205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BB4972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και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αντιπροσωπεύει το </w:t>
      </w:r>
      <w:r w:rsidR="00EC12F6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1</w:t>
      </w:r>
      <w:r w:rsidR="00AC419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7</w:t>
      </w:r>
      <w:r w:rsidR="00DE0AB6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</w:t>
      </w:r>
      <w:r w:rsidR="00327E10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 συνόλου των εγγεγραμμένων ανέργων</w:t>
      </w:r>
      <w:r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. </w:t>
      </w:r>
      <w:r w:rsidR="00DB660D" w:rsidRPr="009E4ED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του αριθμού των ανέργων κατά διάρκεια εγγραφής τους τελευταίους 1</w:t>
      </w:r>
      <w:r w:rsidR="007A4A0E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="00DB660D" w:rsidRPr="00D03034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μήνες.</w:t>
      </w:r>
    </w:p>
    <w:p w:rsidR="00EC12F6" w:rsidRPr="00693812" w:rsidRDefault="00EC12F6" w:rsidP="00EC12F6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</w:p>
    <w:p w:rsidR="00693812" w:rsidRPr="00D03034" w:rsidRDefault="00C85868" w:rsidP="00693812">
      <w:pPr>
        <w:pStyle w:val="ListParagraph"/>
        <w:spacing w:line="276" w:lineRule="auto"/>
        <w:ind w:left="426"/>
        <w:jc w:val="both"/>
        <w:rPr>
          <w:b w:val="0"/>
          <w:color w:val="auto"/>
          <w:lang w:val="el-GR"/>
        </w:rPr>
      </w:pPr>
      <w:r>
        <w:rPr>
          <w:noProof/>
        </w:rPr>
        <w:drawing>
          <wp:inline distT="0" distB="0" distL="0" distR="0" wp14:anchorId="089FD201" wp14:editId="071BECF5">
            <wp:extent cx="5742039" cy="3165987"/>
            <wp:effectExtent l="0" t="0" r="1143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07E0" w:rsidRPr="00A45988" w:rsidRDefault="008807E0" w:rsidP="006C77AA">
      <w:pPr>
        <w:ind w:left="360"/>
        <w:jc w:val="center"/>
        <w:rPr>
          <w:rFonts w:asciiTheme="minorHAnsi" w:hAnsiTheme="minorHAnsi" w:cs="Arial"/>
          <w:sz w:val="22"/>
          <w:szCs w:val="22"/>
          <w:lang w:val="el-GR"/>
        </w:rPr>
      </w:pPr>
    </w:p>
    <w:p w:rsidR="00A820F2" w:rsidRDefault="00A820F2" w:rsidP="00016BD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A45988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A45988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</w:t>
      </w:r>
      <w:r w:rsidR="00CD34E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</w:t>
      </w:r>
      <w:r w:rsidR="002024A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</w:t>
      </w:r>
      <w:r w:rsidR="009E4ED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EA211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911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</w:t>
      </w:r>
      <w:r w:rsidR="00EC12F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EA211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Ο αντίστοιχος αριθμός τον ίδιο μήνα πέρσι ήταν </w:t>
      </w:r>
      <w:r w:rsidR="00EC12F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EA211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86690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EA211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919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</w:t>
      </w:r>
      <w:r w:rsidR="00EC12F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67</w:t>
      </w:r>
      <w:r w:rsidR="00CD26F5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). Από το σύνολο των ανέργων οι </w:t>
      </w:r>
      <w:r w:rsidR="00EA211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9509C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EA211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269</w:t>
      </w:r>
      <w:r w:rsidR="00BF62D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 w:rsidR="002024A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EA211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</w:t>
      </w:r>
      <w:r w:rsidR="00EA211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</w:t>
      </w:r>
      <w:r w:rsidR="00535EF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EA211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061</w:t>
      </w:r>
      <w:r w:rsidR="00D0303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024A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 w:rsidR="00EA211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20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 w:rsidR="002024A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του συνόλου των ανέργων.</w:t>
      </w:r>
    </w:p>
    <w:p w:rsidR="00EC12F6" w:rsidRPr="006642CA" w:rsidRDefault="00C85868" w:rsidP="00EC12F6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noProof/>
        </w:rPr>
        <w:drawing>
          <wp:inline distT="0" distB="0" distL="0" distR="0" wp14:anchorId="61A2AD05" wp14:editId="2FD7BB4B">
            <wp:extent cx="5456903" cy="3008671"/>
            <wp:effectExtent l="0" t="0" r="10795" b="2032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1738" w:rsidRPr="00A45988" w:rsidRDefault="00231738" w:rsidP="00231738">
      <w:pPr>
        <w:spacing w:after="0"/>
        <w:ind w:left="720"/>
        <w:jc w:val="both"/>
        <w:rPr>
          <w:rFonts w:ascii="Calibri" w:hAnsi="Calibri" w:cs="Arial"/>
          <w:b/>
          <w:bCs/>
          <w:sz w:val="16"/>
          <w:szCs w:val="16"/>
          <w:lang w:val="el-GR"/>
        </w:rPr>
      </w:pPr>
    </w:p>
    <w:p w:rsidR="00F15D38" w:rsidRPr="00580D1E" w:rsidRDefault="00106145" w:rsidP="000711CF">
      <w:pPr>
        <w:numPr>
          <w:ilvl w:val="0"/>
          <w:numId w:val="1"/>
        </w:numPr>
        <w:spacing w:after="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ι μισοί από τους εγγεγραμμένους άνεργους είναι </w:t>
      </w:r>
      <w:r w:rsidR="00F15D38" w:rsidRPr="00A45988">
        <w:rPr>
          <w:rFonts w:ascii="Calibri" w:hAnsi="Calibri" w:cs="Calibri"/>
          <w:b/>
          <w:sz w:val="22"/>
          <w:szCs w:val="22"/>
          <w:lang w:val="el-GR"/>
        </w:rPr>
        <w:t>απόφοιτοι δευτεροβάθμιας γενικής ή τεχνικής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 εκπαίδευσης με ποσοστό </w:t>
      </w:r>
      <w:r>
        <w:rPr>
          <w:rFonts w:ascii="Calibri" w:hAnsi="Calibri" w:cs="Calibri"/>
          <w:sz w:val="22"/>
          <w:szCs w:val="22"/>
          <w:lang w:val="el-GR"/>
        </w:rPr>
        <w:t>50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6D6246">
        <w:rPr>
          <w:rFonts w:ascii="Calibri" w:hAnsi="Calibri" w:cs="Calibri"/>
          <w:sz w:val="22"/>
          <w:szCs w:val="22"/>
          <w:lang w:val="el-GR"/>
        </w:rPr>
        <w:t>1</w:t>
      </w:r>
      <w:r w:rsidR="009F3B0C">
        <w:rPr>
          <w:rFonts w:ascii="Calibri" w:hAnsi="Calibri" w:cs="Calibri"/>
          <w:sz w:val="22"/>
          <w:szCs w:val="22"/>
          <w:lang w:val="el-GR"/>
        </w:rPr>
        <w:t>5</w:t>
      </w:r>
      <w:r w:rsidR="00513059">
        <w:rPr>
          <w:rFonts w:ascii="Calibri" w:hAnsi="Calibri" w:cs="Calibri"/>
          <w:sz w:val="22"/>
          <w:szCs w:val="22"/>
          <w:lang w:val="el-GR"/>
        </w:rPr>
        <w:t>.</w:t>
      </w:r>
      <w:r w:rsidR="009F3B0C">
        <w:rPr>
          <w:rFonts w:ascii="Calibri" w:hAnsi="Calibri" w:cs="Calibri"/>
          <w:sz w:val="22"/>
          <w:szCs w:val="22"/>
          <w:lang w:val="el-GR"/>
        </w:rPr>
        <w:t>537</w:t>
      </w:r>
      <w:r w:rsidR="00F15D38" w:rsidRPr="00A45988">
        <w:rPr>
          <w:rFonts w:ascii="Calibri" w:hAnsi="Calibri" w:cs="Arial"/>
          <w:b/>
          <w:bCs/>
          <w:sz w:val="20"/>
          <w:szCs w:val="20"/>
          <w:lang w:val="el-GR"/>
        </w:rPr>
        <w:t xml:space="preserve"> 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άτομα, ακολουθούν 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οι απόφοιτοι </w:t>
      </w:r>
      <w:r w:rsidRPr="00A45988">
        <w:rPr>
          <w:rFonts w:ascii="Calibri" w:hAnsi="Calibri" w:cs="Calibri"/>
          <w:sz w:val="22"/>
          <w:szCs w:val="22"/>
          <w:lang w:val="el-GR"/>
        </w:rPr>
        <w:t>πρωτοβάθμια</w:t>
      </w:r>
      <w:r>
        <w:rPr>
          <w:rFonts w:ascii="Calibri" w:hAnsi="Calibri" w:cs="Calibri"/>
          <w:sz w:val="22"/>
          <w:szCs w:val="22"/>
          <w:lang w:val="el-GR"/>
        </w:rPr>
        <w:t>ς</w:t>
      </w:r>
      <w:r w:rsidRPr="00A45988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εκπαίδευσης με ποσοστό </w:t>
      </w:r>
      <w:r w:rsidR="00021680">
        <w:rPr>
          <w:rFonts w:ascii="Calibri" w:hAnsi="Calibri" w:cs="Calibri"/>
          <w:sz w:val="22"/>
          <w:szCs w:val="22"/>
          <w:lang w:val="el-GR"/>
        </w:rPr>
        <w:t>26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6D6246">
        <w:rPr>
          <w:rFonts w:ascii="Calibri" w:hAnsi="Calibri" w:cs="Calibri"/>
          <w:sz w:val="22"/>
          <w:szCs w:val="22"/>
          <w:lang w:val="el-GR"/>
        </w:rPr>
        <w:t>7</w:t>
      </w:r>
      <w:r w:rsidR="009E4EDC">
        <w:rPr>
          <w:rFonts w:ascii="Calibri" w:hAnsi="Calibri" w:cs="Calibri"/>
          <w:sz w:val="22"/>
          <w:szCs w:val="22"/>
          <w:lang w:val="el-GR"/>
        </w:rPr>
        <w:t>.</w:t>
      </w:r>
      <w:r w:rsidR="009F3B0C">
        <w:rPr>
          <w:rFonts w:ascii="Calibri" w:hAnsi="Calibri" w:cs="Calibri"/>
          <w:sz w:val="22"/>
          <w:szCs w:val="22"/>
          <w:lang w:val="el-GR"/>
        </w:rPr>
        <w:t>962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 άτομα και 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οι απόφοιτοι </w:t>
      </w:r>
      <w:r w:rsidR="002137A9" w:rsidRPr="00A45988">
        <w:rPr>
          <w:rFonts w:ascii="Calibri" w:hAnsi="Calibri" w:cs="Calibri"/>
          <w:sz w:val="22"/>
          <w:szCs w:val="22"/>
          <w:lang w:val="el-GR"/>
        </w:rPr>
        <w:t xml:space="preserve">με </w:t>
      </w:r>
      <w:r>
        <w:rPr>
          <w:rFonts w:ascii="Calibri" w:hAnsi="Calibri" w:cs="Calibri"/>
          <w:sz w:val="22"/>
          <w:szCs w:val="22"/>
          <w:lang w:val="el-GR"/>
        </w:rPr>
        <w:t>τριτοβάθμια</w:t>
      </w:r>
      <w:r w:rsidR="002137A9" w:rsidRPr="00A45988">
        <w:rPr>
          <w:rFonts w:ascii="Calibri" w:hAnsi="Calibri" w:cs="Calibri"/>
          <w:sz w:val="22"/>
          <w:szCs w:val="22"/>
          <w:lang w:val="el-GR"/>
        </w:rPr>
        <w:t xml:space="preserve"> εκπαίδευση 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με </w:t>
      </w:r>
      <w:r w:rsidR="00021680">
        <w:rPr>
          <w:rFonts w:ascii="Calibri" w:hAnsi="Calibri" w:cs="Calibri"/>
          <w:sz w:val="22"/>
          <w:szCs w:val="22"/>
          <w:lang w:val="el-GR"/>
        </w:rPr>
        <w:t>2</w:t>
      </w:r>
      <w:r w:rsidR="009F3B0C">
        <w:rPr>
          <w:rFonts w:ascii="Calibri" w:hAnsi="Calibri" w:cs="Calibri"/>
          <w:sz w:val="22"/>
          <w:szCs w:val="22"/>
          <w:lang w:val="el-GR"/>
        </w:rPr>
        <w:t>4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% ή </w:t>
      </w:r>
      <w:r w:rsidR="00021680">
        <w:rPr>
          <w:rFonts w:ascii="Calibri" w:hAnsi="Calibri" w:cs="Calibri"/>
          <w:sz w:val="22"/>
          <w:szCs w:val="22"/>
          <w:lang w:val="el-GR"/>
        </w:rPr>
        <w:t>7</w:t>
      </w:r>
      <w:r w:rsidR="00385520">
        <w:rPr>
          <w:rFonts w:ascii="Calibri" w:hAnsi="Calibri" w:cs="Calibri"/>
          <w:sz w:val="22"/>
          <w:szCs w:val="22"/>
          <w:lang w:val="el-GR"/>
        </w:rPr>
        <w:t>.</w:t>
      </w:r>
      <w:r w:rsidR="009F3B0C">
        <w:rPr>
          <w:rFonts w:ascii="Calibri" w:hAnsi="Calibri" w:cs="Calibri"/>
          <w:sz w:val="22"/>
          <w:szCs w:val="22"/>
          <w:lang w:val="el-GR"/>
        </w:rPr>
        <w:t>452</w:t>
      </w:r>
      <w:r w:rsidR="00CD34E7" w:rsidRPr="00A45988">
        <w:rPr>
          <w:rFonts w:ascii="Calibri" w:hAnsi="Calibri" w:cs="Calibri"/>
          <w:sz w:val="22"/>
          <w:szCs w:val="22"/>
          <w:lang w:val="el-GR"/>
        </w:rPr>
        <w:t xml:space="preserve"> άτομα</w:t>
      </w:r>
      <w:r w:rsidR="000711CF" w:rsidRPr="00A45988">
        <w:rPr>
          <w:rFonts w:ascii="Calibri" w:hAnsi="Calibri" w:cs="Calibri"/>
          <w:sz w:val="22"/>
          <w:szCs w:val="22"/>
          <w:lang w:val="el-GR"/>
        </w:rPr>
        <w:t>.</w:t>
      </w:r>
      <w:r w:rsidR="00F15D38" w:rsidRPr="00A45988">
        <w:rPr>
          <w:rFonts w:ascii="Calibri" w:hAnsi="Calibri" w:cs="Calibri"/>
          <w:sz w:val="22"/>
          <w:szCs w:val="22"/>
          <w:lang w:val="el-GR"/>
        </w:rPr>
        <w:t xml:space="preserve"> 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580D1E" w:rsidRPr="00EC12F6" w:rsidRDefault="00580D1E" w:rsidP="00580D1E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EC12F6" w:rsidRPr="00A45988" w:rsidRDefault="00C85868" w:rsidP="00EC12F6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>
        <w:rPr>
          <w:noProof/>
        </w:rPr>
        <w:drawing>
          <wp:inline distT="0" distB="0" distL="0" distR="0" wp14:anchorId="4A665182" wp14:editId="26410FD5">
            <wp:extent cx="5456903" cy="3048000"/>
            <wp:effectExtent l="0" t="0" r="10795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52EA" w:rsidRPr="00A45988" w:rsidRDefault="00AD52EA" w:rsidP="00AD52EA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147FC7" w:rsidRPr="00A45988" w:rsidRDefault="00147FC7" w:rsidP="00147FC7">
      <w:pPr>
        <w:spacing w:after="0"/>
        <w:ind w:left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CC2CB1" w:rsidRPr="00A45988" w:rsidRDefault="00CC2CB1" w:rsidP="00CC2CB1">
      <w:pPr>
        <w:spacing w:after="0"/>
        <w:ind w:left="72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8C5C74" w:rsidRPr="00A45988" w:rsidRDefault="008C5C74" w:rsidP="004B60F9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Σύγκριση μεταξύ</w:t>
      </w:r>
      <w:r w:rsidR="00E26A1D"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684733"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Δεκεμβρίου</w:t>
      </w:r>
      <w:r w:rsidR="0012440D"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2018</w:t>
      </w:r>
      <w:r w:rsidR="00021680"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="0012440D" w:rsidRPr="0012440D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και Ιανουαρίου 2019</w:t>
      </w:r>
      <w:r w:rsidR="004C05CF" w:rsidRPr="00A45988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A45988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A45988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213E1E" w:rsidRPr="00A45988" w:rsidRDefault="007D13B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</w:t>
      </w:r>
      <w:r w:rsidR="00AB2DF7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="0011587C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Ιανουάρι</w:t>
      </w:r>
      <w:r w:rsidR="00ED4B0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ο</w:t>
      </w:r>
      <w:r w:rsidR="0083184C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</w:t>
      </w:r>
      <w:r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του</w:t>
      </w:r>
      <w:r w:rsidR="009F1027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201</w:t>
      </w:r>
      <w:r w:rsidR="0011587C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9</w:t>
      </w:r>
      <w:r w:rsidR="008C5C74" w:rsidRPr="00A45988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</w:t>
      </w:r>
      <w:r w:rsidR="000E365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αυξή</w:t>
      </w:r>
      <w:r w:rsidR="00540BD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θη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κε</w:t>
      </w:r>
      <w:r w:rsidR="00213E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1637FF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1.</w:t>
      </w:r>
      <w:r w:rsidR="0011587C" w:rsidRPr="0011587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151</w:t>
      </w:r>
      <w:r w:rsidR="00213E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8C5C7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σε σύ</w:t>
      </w:r>
      <w:r w:rsidR="00D0781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γκριση με τον προηγού</w:t>
      </w:r>
      <w:r w:rsidR="00D0781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>μενο μήνα</w:t>
      </w:r>
      <w:r w:rsidR="00213E1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8C5C74" w:rsidRPr="008D6B63" w:rsidRDefault="00213E1E" w:rsidP="00713F9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</w:t>
      </w:r>
      <w:r w:rsidR="000E3651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αυξή</w:t>
      </w:r>
      <w:r w:rsidR="00AE52D1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θηκαν 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11587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460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</w:t>
      </w:r>
      <w:r w:rsidR="004667D5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και 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γυναίκες</w:t>
      </w:r>
      <w:r w:rsidR="00937CCE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11587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691</w:t>
      </w:r>
      <w:r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  <w:r w:rsidR="008C5C74" w:rsidRP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7D13BE" w:rsidRPr="00A45988" w:rsidRDefault="00E4611D" w:rsidP="0083184C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ηλικία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2D8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2D8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7D13B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παρουσ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ιάστηκ</w:t>
      </w:r>
      <w:r w:rsidR="00372D8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ην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ηλικιακ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ομάδ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1587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50-59</w:t>
      </w:r>
      <w:r w:rsidR="000E4E38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κατά </w:t>
      </w:r>
      <w:r w:rsidR="0011587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289</w:t>
      </w:r>
      <w:r w:rsidR="00FA5CD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0E4E38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CE1626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DF2F2A" w:rsidRPr="00A45988" w:rsidRDefault="001B429A" w:rsidP="00DF2F2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αυξήσεις 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αν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04FB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</w:t>
      </w:r>
      <w:r w:rsidR="008D6B6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Ελληνοκυπρίους κατά </w:t>
      </w:r>
      <w:r w:rsidR="0011587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557</w:t>
      </w:r>
      <w:r w:rsidR="008D6B6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στους Ευρωπαίους κατά </w:t>
      </w:r>
      <w:r w:rsid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</w:t>
      </w:r>
      <w:r w:rsidR="0011587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41</w:t>
      </w:r>
      <w:r w:rsidR="008D6B6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DF2F2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2376C6" w:rsidRPr="00A45988" w:rsidRDefault="00A330ED" w:rsidP="0070207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διάρκεια ανεργίας,</w:t>
      </w:r>
      <w:r w:rsidR="00E26A1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παρουσιάστηκε</w:t>
      </w:r>
      <w:r w:rsidR="00114E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μόνο</w:t>
      </w: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στον </w:t>
      </w:r>
      <w:r w:rsidR="001B429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αριθμό των ανέργων με διάρκεια ανεργίας </w:t>
      </w:r>
      <w:r w:rsidR="00114E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="002302E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μέχρι </w:t>
      </w:r>
      <w:r w:rsidR="00114E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="0007507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</w:t>
      </w:r>
      <w:r w:rsidR="002302E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ήνες</w:t>
      </w:r>
      <w:r w:rsidR="001F6057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="00114E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="0063126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.2</w:t>
      </w:r>
      <w:r w:rsidR="00114E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30</w:t>
      </w:r>
      <w:r w:rsidR="00A83B25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1B429A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 w:rsidR="00E4611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  <w:r w:rsidR="007928A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3A143C" w:rsidRPr="00A45988" w:rsidRDefault="008C5C74" w:rsidP="008954B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="00B261E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="009F593E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</w:t>
      </w:r>
      <w:r w:rsidR="0049369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μεγαλύτερ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B12A2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</w:t>
      </w:r>
      <w:r w:rsidR="00E26A1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B261E0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παρατηρήθηκ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3A0461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8954BD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ανάμεσα στον </w:t>
      </w:r>
      <w:r w:rsidR="008249B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τομέα</w:t>
      </w:r>
      <w:r w:rsidR="0045561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των</w:t>
      </w:r>
      <w:r w:rsidR="008249B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  <w:r w:rsidR="009602C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ξενοδοχείων</w:t>
      </w:r>
      <w:r w:rsidR="008249B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(κατά </w:t>
      </w:r>
      <w:r w:rsidR="00114EB1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452</w:t>
      </w:r>
      <w:r w:rsidR="008249B3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άτομα)</w:t>
      </w:r>
      <w:r w:rsidR="008954BD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.</w:t>
      </w:r>
      <w:r w:rsidR="00376EE9" w:rsidRPr="00A45988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</w:t>
      </w:r>
    </w:p>
    <w:p w:rsidR="00E52C8A" w:rsidRPr="00A45988" w:rsidRDefault="00493145" w:rsidP="005D57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επαρχία,</w:t>
      </w:r>
      <w:r w:rsidR="006141B3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="00F4692C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602C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αύξηση</w:t>
      </w:r>
      <w:r w:rsidR="00A22E58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2719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καταγράφηκ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="00F2719F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στην επαρχία </w:t>
      </w:r>
      <w:r w:rsidR="00114E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Λάρνακας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 w:rsidR="00114EB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352</w:t>
      </w:r>
      <w:r w:rsidR="00376EE9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 w:rsidR="00F81F44" w:rsidRPr="00A45988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 </w:t>
      </w:r>
    </w:p>
    <w:p w:rsidR="00970308" w:rsidRPr="00A45988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EB5DF5" w:rsidRPr="00D06EFF" w:rsidRDefault="00EB5DF5" w:rsidP="00E52C8A">
      <w:pPr>
        <w:spacing w:after="0" w:line="240" w:lineRule="auto"/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8C5C74" w:rsidRPr="00685E37" w:rsidRDefault="008C5C74" w:rsidP="00E52C8A">
      <w:pPr>
        <w:spacing w:after="0" w:line="240" w:lineRule="auto"/>
        <w:rPr>
          <w:rFonts w:asciiTheme="minorHAnsi" w:hAnsiTheme="minorHAnsi" w:cs="Arial"/>
          <w:b/>
          <w:i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Νέες Εγγραφές</w:t>
      </w:r>
      <w:r w:rsidRPr="00685E37">
        <w:rPr>
          <w:rStyle w:val="FootnoteReference"/>
          <w:rFonts w:asciiTheme="minorHAnsi" w:hAnsiTheme="minorHAnsi" w:cs="Arial"/>
          <w:b/>
          <w:i/>
          <w:iCs/>
          <w:sz w:val="22"/>
          <w:szCs w:val="22"/>
          <w:lang w:val="el-GR"/>
        </w:rPr>
        <w:footnoteReference w:id="3"/>
      </w:r>
      <w:r w:rsidR="00380805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 </w:t>
      </w:r>
      <w:r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 xml:space="preserve">Ανέργων κατά Επαρχία </w:t>
      </w:r>
      <w:r w:rsidR="00F47DA6" w:rsidRPr="00685E37">
        <w:rPr>
          <w:rFonts w:asciiTheme="minorHAnsi" w:hAnsiTheme="minorHAnsi" w:cs="Arial"/>
          <w:b/>
          <w:i/>
          <w:iCs/>
          <w:sz w:val="22"/>
          <w:szCs w:val="22"/>
          <w:lang w:val="el-GR"/>
        </w:rPr>
        <w:t>και μήνα</w:t>
      </w:r>
    </w:p>
    <w:p w:rsidR="006642CA" w:rsidRPr="00D06EFF" w:rsidRDefault="006642CA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</w:p>
    <w:p w:rsidR="00380805" w:rsidRPr="00685E37" w:rsidRDefault="00380805" w:rsidP="00E52C8A">
      <w:pPr>
        <w:spacing w:after="0" w:line="240" w:lineRule="auto"/>
        <w:rPr>
          <w:rFonts w:asciiTheme="minorHAnsi" w:hAnsiTheme="minorHAnsi" w:cs="Arial"/>
          <w:iCs/>
          <w:sz w:val="22"/>
          <w:szCs w:val="22"/>
          <w:lang w:val="el-GR"/>
        </w:rPr>
      </w:pPr>
      <w:r w:rsidRPr="00685E37">
        <w:rPr>
          <w:rFonts w:asciiTheme="minorHAnsi" w:hAnsiTheme="minorHAnsi" w:cs="Arial"/>
          <w:iCs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970308" w:rsidRPr="006642CA" w:rsidRDefault="00970308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6642CA" w:rsidRPr="006642CA" w:rsidRDefault="006642CA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p w:rsidR="00D36186" w:rsidRPr="00685E37" w:rsidRDefault="00D36186" w:rsidP="00E52C8A">
      <w:pPr>
        <w:spacing w:after="0" w:line="240" w:lineRule="auto"/>
        <w:rPr>
          <w:rFonts w:asciiTheme="minorHAnsi" w:hAnsiTheme="minorHAnsi" w:cs="Arial"/>
          <w:i/>
          <w:iCs/>
          <w:sz w:val="16"/>
          <w:szCs w:val="16"/>
          <w:lang w:val="el-GR"/>
        </w:rPr>
      </w:pPr>
    </w:p>
    <w:tbl>
      <w:tblPr>
        <w:tblW w:w="7273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4"/>
        <w:gridCol w:w="1843"/>
        <w:gridCol w:w="1843"/>
        <w:gridCol w:w="1843"/>
      </w:tblGrid>
      <w:tr w:rsidR="0012440D" w:rsidRPr="00685E37" w:rsidTr="00736D19">
        <w:trPr>
          <w:trHeight w:val="98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40D" w:rsidRPr="00685E37" w:rsidRDefault="0012440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85E37">
              <w:rPr>
                <w:rFonts w:asciiTheme="minorHAnsi" w:hAnsiTheme="minorHAnsi" w:cs="Arial"/>
                <w:sz w:val="22"/>
                <w:szCs w:val="22"/>
                <w:lang w:val="el-GR"/>
              </w:rPr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685E37" w:rsidRDefault="0012440D" w:rsidP="001E239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Νοέμ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βριος 2018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685E37" w:rsidRDefault="0012440D" w:rsidP="001E239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Δεκέμ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βριος 2018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685E37" w:rsidRDefault="0012440D" w:rsidP="0012440D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Ιανουάριος </w:t>
            </w:r>
            <w:r w:rsidRPr="00685E37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>9</w:t>
            </w:r>
          </w:p>
        </w:tc>
      </w:tr>
      <w:tr w:rsidR="0012440D" w:rsidRPr="00685E37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40D" w:rsidRPr="00685E37" w:rsidRDefault="0012440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85E37">
              <w:rPr>
                <w:rFonts w:asciiTheme="minorHAnsi" w:hAnsiTheme="minorHAnsi" w:cs="Arial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685E37" w:rsidRDefault="0012440D" w:rsidP="001E239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685E37" w:rsidRDefault="0012440D" w:rsidP="001E239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685E37" w:rsidRDefault="003C51F0" w:rsidP="002151E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2.270</w:t>
            </w:r>
          </w:p>
        </w:tc>
      </w:tr>
      <w:tr w:rsidR="0012440D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40D" w:rsidRPr="00A45988" w:rsidRDefault="0012440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12440D" w:rsidP="001E239F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12440D" w:rsidP="001E239F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3C51F0" w:rsidP="008749A5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1.186</w:t>
            </w:r>
          </w:p>
        </w:tc>
      </w:tr>
      <w:tr w:rsidR="0012440D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40D" w:rsidRPr="00A45988" w:rsidRDefault="0012440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12440D" w:rsidP="001E239F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12440D" w:rsidP="001E239F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3C51F0" w:rsidP="00A3545D">
            <w:pPr>
              <w:tabs>
                <w:tab w:val="left" w:pos="510"/>
                <w:tab w:val="center" w:pos="855"/>
                <w:tab w:val="right" w:pos="1710"/>
              </w:tabs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611</w:t>
            </w:r>
          </w:p>
        </w:tc>
      </w:tr>
      <w:tr w:rsidR="0012440D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40D" w:rsidRPr="00A45988" w:rsidRDefault="0012440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12440D" w:rsidP="001E239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12440D" w:rsidP="001E239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3C51F0" w:rsidP="006A7030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1.791</w:t>
            </w:r>
          </w:p>
        </w:tc>
      </w:tr>
      <w:tr w:rsidR="0012440D" w:rsidRPr="00A45988" w:rsidTr="00736D19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40D" w:rsidRPr="00A45988" w:rsidRDefault="0012440D" w:rsidP="002C37DD">
            <w:pPr>
              <w:spacing w:after="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12440D" w:rsidP="001E239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12440D" w:rsidP="001E239F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0D" w:rsidRPr="00F16BB3" w:rsidRDefault="003C51F0" w:rsidP="008749A5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1.147</w:t>
            </w:r>
          </w:p>
        </w:tc>
      </w:tr>
      <w:tr w:rsidR="0012440D" w:rsidRPr="00A45988" w:rsidTr="00736D19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440D" w:rsidRPr="00A45988" w:rsidRDefault="0012440D" w:rsidP="002C37DD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</w:pPr>
            <w:r w:rsidRPr="00A45988">
              <w:rPr>
                <w:rFonts w:asciiTheme="minorHAnsi" w:hAnsiTheme="minorHAnsi" w:cs="Arial"/>
                <w:b/>
                <w:bCs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40D" w:rsidRPr="00F16BB3" w:rsidRDefault="0012440D" w:rsidP="001E239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12.806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40D" w:rsidRPr="00F16BB3" w:rsidRDefault="0012440D" w:rsidP="001E239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6.354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440D" w:rsidRPr="00F16BB3" w:rsidRDefault="003C51F0" w:rsidP="008749A5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7.005</w:t>
            </w:r>
            <w:bookmarkStart w:id="0" w:name="_GoBack"/>
            <w:bookmarkEnd w:id="0"/>
          </w:p>
        </w:tc>
      </w:tr>
    </w:tbl>
    <w:p w:rsidR="007F7A1F" w:rsidRPr="00A45988" w:rsidRDefault="007F7A1F" w:rsidP="00235E23">
      <w:pPr>
        <w:pStyle w:val="FootnoteText"/>
        <w:spacing w:after="0"/>
        <w:jc w:val="both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38774F" w:rsidRPr="00A45988" w:rsidRDefault="0038774F" w:rsidP="00467BD3">
      <w:pPr>
        <w:pStyle w:val="FootnoteText"/>
        <w:spacing w:after="0"/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p w:rsidR="006642CA" w:rsidRPr="000C12CF" w:rsidRDefault="006642CA" w:rsidP="00467BD3">
      <w:pPr>
        <w:pStyle w:val="FootnoteText"/>
        <w:spacing w:after="0"/>
        <w:rPr>
          <w:rFonts w:asciiTheme="minorHAnsi" w:hAnsiTheme="minorHAnsi" w:cs="Arial"/>
          <w:b/>
          <w:bCs/>
          <w:sz w:val="24"/>
          <w:szCs w:val="24"/>
          <w:lang w:val="el-GR"/>
        </w:rPr>
      </w:pPr>
    </w:p>
    <w:p w:rsidR="008C5C74" w:rsidRPr="00A45988" w:rsidRDefault="000C12CF" w:rsidP="00467BD3">
      <w:pPr>
        <w:pStyle w:val="FootnoteText"/>
        <w:spacing w:after="0"/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  <w:lang w:val="el-GR"/>
        </w:rPr>
        <w:t>Φεβρουαρίου</w:t>
      </w:r>
      <w:r w:rsidR="009739F9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4D2922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201</w:t>
      </w:r>
      <w:r w:rsidR="0099059D">
        <w:rPr>
          <w:rFonts w:asciiTheme="minorHAnsi" w:hAnsiTheme="minorHAnsi" w:cs="Arial"/>
          <w:b/>
          <w:bCs/>
          <w:sz w:val="24"/>
          <w:szCs w:val="24"/>
          <w:lang w:val="el-GR"/>
        </w:rPr>
        <w:t>9</w:t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EB1A35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7745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0A7DCA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2C6AE9" w:rsidRPr="00A45988">
        <w:rPr>
          <w:rFonts w:asciiTheme="minorHAnsi" w:hAnsiTheme="minorHAnsi" w:cs="Arial"/>
          <w:sz w:val="24"/>
          <w:szCs w:val="24"/>
          <w:lang w:val="el-GR"/>
        </w:rPr>
        <w:tab/>
      </w:r>
      <w:r w:rsidR="008C5C74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ΠΑΡΑΤΗΡΗΤΗΡΙΟ </w:t>
      </w:r>
      <w:r w:rsidR="00EB1A35"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>ΑΓΟΡΑΣ ΕΡΓΑΣΙΑΣ</w:t>
      </w:r>
    </w:p>
    <w:p w:rsidR="002004B1" w:rsidRPr="00A45988" w:rsidRDefault="00D96911" w:rsidP="008508C7">
      <w:pPr>
        <w:pStyle w:val="FootnoteText"/>
        <w:spacing w:after="0"/>
        <w:ind w:left="5760" w:firstLine="720"/>
        <w:jc w:val="center"/>
        <w:rPr>
          <w:rFonts w:asciiTheme="minorHAnsi" w:hAnsiTheme="minorHAnsi" w:cs="Arial"/>
          <w:sz w:val="24"/>
          <w:szCs w:val="24"/>
          <w:lang w:val="el-GR"/>
        </w:rPr>
      </w:pPr>
      <w:r w:rsidRPr="00A45988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ΤΜΗΜΑ ΕΡΓΑΣΙΑΣ </w:t>
      </w:r>
    </w:p>
    <w:p w:rsidR="00055CAF" w:rsidRPr="00A45988" w:rsidRDefault="00055CAF" w:rsidP="001221C1">
      <w:pPr>
        <w:rPr>
          <w:rFonts w:asciiTheme="minorHAnsi" w:hAnsiTheme="minorHAnsi"/>
          <w:sz w:val="16"/>
          <w:szCs w:val="16"/>
          <w:lang w:val="el-GR"/>
        </w:rPr>
      </w:pPr>
    </w:p>
    <w:p w:rsidR="00AF4D7E" w:rsidRPr="000C12CF" w:rsidRDefault="00AF4D7E" w:rsidP="000C1CFB">
      <w:pPr>
        <w:rPr>
          <w:rFonts w:asciiTheme="minorHAnsi" w:hAnsiTheme="minorHAnsi"/>
          <w:sz w:val="18"/>
          <w:szCs w:val="18"/>
          <w:lang w:val="el-GR"/>
        </w:rPr>
      </w:pPr>
    </w:p>
    <w:p w:rsidR="008C5C74" w:rsidRPr="00DE0AB6" w:rsidRDefault="00396F7C" w:rsidP="000C1CFB">
      <w:pPr>
        <w:rPr>
          <w:rFonts w:asciiTheme="minorHAnsi" w:hAnsiTheme="minorHAnsi"/>
          <w:sz w:val="18"/>
          <w:szCs w:val="18"/>
        </w:rPr>
      </w:pPr>
      <w:proofErr w:type="spellStart"/>
      <w:r w:rsidRPr="00A45988">
        <w:rPr>
          <w:rFonts w:asciiTheme="minorHAnsi" w:hAnsiTheme="minorHAnsi"/>
          <w:sz w:val="18"/>
          <w:szCs w:val="18"/>
          <w:lang w:val="el-GR"/>
        </w:rPr>
        <w:t>ΜΡη</w:t>
      </w:r>
      <w:proofErr w:type="spellEnd"/>
      <w:r w:rsidR="00055CAF" w:rsidRPr="00DE0AB6">
        <w:rPr>
          <w:rFonts w:asciiTheme="minorHAnsi" w:hAnsiTheme="minorHAnsi"/>
          <w:sz w:val="18"/>
          <w:szCs w:val="18"/>
        </w:rPr>
        <w:t xml:space="preserve">, </w:t>
      </w:r>
      <w:r w:rsidR="00A8482E">
        <w:rPr>
          <w:rFonts w:asciiTheme="minorHAnsi" w:hAnsiTheme="minorHAnsi"/>
          <w:sz w:val="18"/>
          <w:szCs w:val="18"/>
        </w:rPr>
        <w:fldChar w:fldCharType="begin"/>
      </w:r>
      <w:r w:rsidR="00A8482E">
        <w:rPr>
          <w:rFonts w:asciiTheme="minorHAnsi" w:hAnsiTheme="minorHAnsi"/>
          <w:sz w:val="18"/>
          <w:szCs w:val="18"/>
        </w:rPr>
        <w:instrText xml:space="preserve"> FILENAME  \p  \* MERGEFORMAT </w:instrText>
      </w:r>
      <w:r w:rsidR="00A8482E">
        <w:rPr>
          <w:rFonts w:asciiTheme="minorHAnsi" w:hAnsiTheme="minorHAnsi"/>
          <w:sz w:val="18"/>
          <w:szCs w:val="18"/>
        </w:rPr>
        <w:fldChar w:fldCharType="separate"/>
      </w:r>
      <w:r w:rsidR="00A8482E">
        <w:rPr>
          <w:rFonts w:asciiTheme="minorHAnsi" w:hAnsiTheme="minorHAnsi"/>
          <w:noProof/>
          <w:sz w:val="18"/>
          <w:szCs w:val="18"/>
        </w:rPr>
        <w:t>C:\Users\Administrator\M RIGOU\Ανεργία - Μηνιαίες Εκθέσεις\2019 registered unemployed - monthly figures\January 2019\Reports\ΠΡΟΚΑΤ ΣΤΟΙΧΕΙΑ ΥΠΟΥΡΓΟΥ January 2019.docx</w:t>
      </w:r>
      <w:r w:rsidR="00A8482E">
        <w:rPr>
          <w:rFonts w:asciiTheme="minorHAnsi" w:hAnsiTheme="minorHAnsi"/>
          <w:sz w:val="18"/>
          <w:szCs w:val="18"/>
        </w:rPr>
        <w:fldChar w:fldCharType="end"/>
      </w:r>
    </w:p>
    <w:sectPr w:rsidR="008C5C74" w:rsidRPr="00DE0AB6" w:rsidSect="004C05CF">
      <w:footerReference w:type="default" r:id="rId17"/>
      <w:pgSz w:w="11909" w:h="16834" w:code="9"/>
      <w:pgMar w:top="993" w:right="1080" w:bottom="1440" w:left="1080" w:header="720" w:footer="567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CB" w:rsidRDefault="00BF67CB">
      <w:pPr>
        <w:spacing w:after="0" w:line="240" w:lineRule="auto"/>
      </w:pPr>
      <w:r>
        <w:separator/>
      </w:r>
    </w:p>
  </w:endnote>
  <w:endnote w:type="continuationSeparator" w:id="0">
    <w:p w:rsidR="00BF67CB" w:rsidRDefault="00BF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C" w:rsidRDefault="00BA654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8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1F0">
      <w:rPr>
        <w:rStyle w:val="PageNumber"/>
        <w:noProof/>
      </w:rPr>
      <w:t>6</w:t>
    </w:r>
    <w:r>
      <w:rPr>
        <w:rStyle w:val="PageNumber"/>
      </w:rPr>
      <w:fldChar w:fldCharType="end"/>
    </w:r>
  </w:p>
  <w:p w:rsidR="00DF580C" w:rsidRDefault="00DF5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CB" w:rsidRDefault="00BF67CB">
      <w:pPr>
        <w:spacing w:after="0" w:line="240" w:lineRule="auto"/>
      </w:pPr>
      <w:r>
        <w:separator/>
      </w:r>
    </w:p>
  </w:footnote>
  <w:footnote w:type="continuationSeparator" w:id="0">
    <w:p w:rsidR="00BF67CB" w:rsidRDefault="00BF67CB">
      <w:pPr>
        <w:spacing w:after="0" w:line="240" w:lineRule="auto"/>
      </w:pPr>
      <w:r>
        <w:continuationSeparator/>
      </w:r>
    </w:p>
  </w:footnote>
  <w:footnote w:id="1">
    <w:p w:rsidR="006C207E" w:rsidRPr="00260731" w:rsidRDefault="00DF580C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</w:rPr>
        <w:footnoteRef/>
      </w:r>
      <w:r w:rsidRPr="00887DBA">
        <w:rPr>
          <w:rFonts w:ascii="Arial" w:hAnsi="Arial" w:cs="Arial"/>
          <w:sz w:val="18"/>
          <w:lang w:val="el-GR"/>
        </w:rPr>
        <w:t xml:space="preserve">  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Pr="00260731">
        <w:rPr>
          <w:rFonts w:asciiTheme="minorHAnsi" w:hAnsiTheme="minorHAnsi" w:cstheme="minorHAnsi"/>
          <w:sz w:val="18"/>
        </w:rPr>
        <w:t>EUROSTAT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Αφορά σε ανεργία 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που υπολογίστηκε αξιοποιώντας </w:t>
      </w:r>
      <w:r w:rsidRPr="00260731">
        <w:rPr>
          <w:rFonts w:asciiTheme="minorHAnsi" w:hAnsiTheme="minorHAnsi" w:cstheme="minorHAnsi"/>
          <w:sz w:val="18"/>
          <w:lang w:val="el-GR"/>
        </w:rPr>
        <w:t>την Έρευνα Εργατικού Δυναμικού</w:t>
      </w:r>
      <w:r w:rsidR="0063739A" w:rsidRPr="00260731">
        <w:rPr>
          <w:rFonts w:asciiTheme="minorHAnsi" w:hAnsiTheme="minorHAnsi" w:cstheme="minorHAnsi"/>
          <w:sz w:val="18"/>
          <w:lang w:val="el-GR"/>
        </w:rPr>
        <w:t xml:space="preserve"> και τα στατιστικά στοιχεία της Εγγεγραμμένης ανεργίας</w:t>
      </w:r>
      <w:r w:rsidRPr="00260731">
        <w:rPr>
          <w:rFonts w:asciiTheme="minorHAnsi" w:hAnsiTheme="minorHAnsi" w:cstheme="minorHAnsi"/>
          <w:sz w:val="18"/>
          <w:lang w:val="el-GR"/>
        </w:rPr>
        <w:t>. Τα στοιχεία είναι διαθέσιμα με ένα μήνα καθυστέρηση.</w:t>
      </w:r>
    </w:p>
  </w:footnote>
  <w:footnote w:id="2">
    <w:p w:rsidR="000C1C44" w:rsidRPr="00260731" w:rsidRDefault="000C1C44" w:rsidP="000C1C44">
      <w:pPr>
        <w:pStyle w:val="FootnoteText"/>
        <w:rPr>
          <w:rFonts w:asciiTheme="minorHAnsi" w:hAnsiTheme="minorHAnsi" w:cstheme="minorHAnsi"/>
          <w:sz w:val="18"/>
          <w:lang w:val="el-GR"/>
        </w:rPr>
      </w:pPr>
      <w:r w:rsidRPr="00260731">
        <w:rPr>
          <w:rStyle w:val="FootnoteReference"/>
          <w:rFonts w:asciiTheme="minorHAnsi" w:hAnsiTheme="minorHAnsi" w:cstheme="minorHAnsi"/>
          <w:sz w:val="18"/>
        </w:rPr>
        <w:footnoteRef/>
      </w:r>
      <w:r w:rsidRPr="00260731">
        <w:rPr>
          <w:rFonts w:asciiTheme="minorHAnsi" w:hAnsiTheme="minorHAnsi" w:cstheme="minorHAnsi"/>
          <w:sz w:val="18"/>
          <w:lang w:val="el-GR"/>
        </w:rPr>
        <w:t xml:space="preserve">Πηγή: </w:t>
      </w:r>
      <w:r w:rsidR="003E2428" w:rsidRPr="00260731">
        <w:rPr>
          <w:rFonts w:asciiTheme="minorHAnsi" w:hAnsiTheme="minorHAnsi" w:cstheme="minorHAnsi"/>
          <w:sz w:val="18"/>
          <w:lang w:val="el-GR"/>
        </w:rPr>
        <w:t>Στατιστική Υπηρεσία της Κυπριακής Δημοκρατίας</w:t>
      </w:r>
      <w:r w:rsidRPr="00260731">
        <w:rPr>
          <w:rFonts w:asciiTheme="minorHAnsi" w:hAnsiTheme="minorHAnsi" w:cstheme="minorHAnsi"/>
          <w:sz w:val="18"/>
          <w:lang w:val="el-GR"/>
        </w:rPr>
        <w:t xml:space="preserve">.  </w:t>
      </w:r>
      <w:r w:rsidR="003E2428" w:rsidRPr="00260731">
        <w:rPr>
          <w:rFonts w:asciiTheme="minorHAnsi" w:hAnsiTheme="minorHAnsi" w:cstheme="minorHAnsi"/>
          <w:sz w:val="18"/>
          <w:lang w:val="el-GR"/>
        </w:rPr>
        <w:t>Κυριότερα Αποτελέσματα ,</w:t>
      </w:r>
      <w:r w:rsidR="00CE63FC" w:rsidRPr="00260731">
        <w:rPr>
          <w:rFonts w:asciiTheme="minorHAnsi" w:hAnsiTheme="minorHAnsi" w:cstheme="minorHAnsi"/>
          <w:sz w:val="18"/>
          <w:lang w:val="el-GR"/>
        </w:rPr>
        <w:t xml:space="preserve"> </w:t>
      </w:r>
      <w:r w:rsidR="00500EA5" w:rsidRPr="00FC35FE">
        <w:rPr>
          <w:rFonts w:asciiTheme="minorHAnsi" w:hAnsiTheme="minorHAnsi" w:cstheme="minorHAnsi"/>
          <w:sz w:val="18"/>
          <w:lang w:val="el-GR"/>
        </w:rPr>
        <w:t>3</w:t>
      </w:r>
      <w:r w:rsidR="00CC600A" w:rsidRPr="00CC600A">
        <w:rPr>
          <w:rFonts w:asciiTheme="minorHAnsi" w:hAnsiTheme="minorHAnsi" w:cstheme="minorHAnsi"/>
          <w:sz w:val="18"/>
          <w:vertAlign w:val="superscript"/>
          <w:lang w:val="el-GR"/>
        </w:rPr>
        <w:t>ο</w:t>
      </w:r>
      <w:r w:rsidR="00CC600A">
        <w:rPr>
          <w:rFonts w:asciiTheme="minorHAnsi" w:hAnsiTheme="minorHAnsi" w:cstheme="minorHAnsi"/>
          <w:sz w:val="18"/>
          <w:lang w:val="el-GR"/>
        </w:rPr>
        <w:t xml:space="preserve"> τρίμηνο 2018 </w:t>
      </w:r>
      <w:r w:rsidRPr="00260731">
        <w:rPr>
          <w:rFonts w:asciiTheme="minorHAnsi" w:hAnsiTheme="minorHAnsi" w:cstheme="minorHAnsi"/>
          <w:sz w:val="18"/>
          <w:lang w:val="el-GR"/>
        </w:rPr>
        <w:t>.</w:t>
      </w:r>
    </w:p>
  </w:footnote>
  <w:footnote w:id="3">
    <w:p w:rsidR="00DF580C" w:rsidRPr="00887DBA" w:rsidRDefault="00DF580C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887DBA">
        <w:rPr>
          <w:rStyle w:val="FootnoteReference"/>
          <w:rFonts w:ascii="Arial" w:hAnsi="Arial" w:cs="Arial"/>
          <w:sz w:val="18"/>
          <w:szCs w:val="18"/>
        </w:rPr>
        <w:footnoteRef/>
      </w:r>
      <w:r w:rsidRPr="00887DBA">
        <w:rPr>
          <w:rFonts w:ascii="Arial" w:hAnsi="Arial" w:cs="Arial"/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rFonts w:ascii="Arial" w:hAnsi="Arial" w:cs="Arial"/>
          <w:sz w:val="18"/>
          <w:szCs w:val="18"/>
          <w:lang w:val="el-GR"/>
        </w:rPr>
        <w:t>π.χ</w:t>
      </w:r>
      <w:proofErr w:type="spellEnd"/>
      <w:r w:rsidRPr="00887DBA">
        <w:rPr>
          <w:rFonts w:ascii="Arial" w:hAnsi="Arial" w:cs="Arial"/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A07"/>
    <w:multiLevelType w:val="hybridMultilevel"/>
    <w:tmpl w:val="C0D65AD4"/>
    <w:lvl w:ilvl="0" w:tplc="F3AA5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34ECC"/>
    <w:multiLevelType w:val="hybridMultilevel"/>
    <w:tmpl w:val="8CFAC19E"/>
    <w:lvl w:ilvl="0" w:tplc="5F3256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C25"/>
    <w:pPr>
      <w:spacing w:after="200" w:line="276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B77C25"/>
    <w:pPr>
      <w:spacing w:after="0" w:line="240" w:lineRule="auto"/>
      <w:jc w:val="center"/>
    </w:pPr>
    <w:rPr>
      <w:rFonts w:ascii="Arial" w:eastAsia="Calibri" w:hAnsi="Arial" w:cs="Arial"/>
      <w:b/>
      <w:bCs/>
      <w:color w:val="000000"/>
      <w:lang w:val="el-GR"/>
    </w:rPr>
  </w:style>
  <w:style w:type="character" w:customStyle="1" w:styleId="TitleChar">
    <w:name w:val="Title Char"/>
    <w:basedOn w:val="DefaultParagraphFont"/>
    <w:uiPriority w:val="99"/>
    <w:locked/>
    <w:rsid w:val="00B77C25"/>
    <w:rPr>
      <w:rFonts w:ascii="Arial" w:hAnsi="Arial" w:cs="Arial"/>
      <w:b/>
      <w:bCs/>
      <w:color w:val="000000"/>
      <w:lang w:val="el-GR" w:eastAsia="x-none"/>
    </w:rPr>
  </w:style>
  <w:style w:type="paragraph" w:styleId="ListParagraph">
    <w:name w:val="List Paragraph"/>
    <w:basedOn w:val="Normal"/>
    <w:qFormat/>
    <w:rsid w:val="00B77C25"/>
    <w:pPr>
      <w:spacing w:after="0" w:line="240" w:lineRule="auto"/>
      <w:ind w:left="720"/>
    </w:pPr>
    <w:rPr>
      <w:rFonts w:eastAsia="Calibri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B7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77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1"/>
    <w:uiPriority w:val="99"/>
    <w:semiHidden/>
    <w:rsid w:val="00B77C25"/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B77C2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B77C25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B77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4247A0"/>
    <w:rPr>
      <w:rFonts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77C25"/>
    <w:rPr>
      <w:rFonts w:cs="Times New Roman"/>
    </w:rPr>
  </w:style>
  <w:style w:type="paragraph" w:customStyle="1" w:styleId="msolistparagraph0">
    <w:name w:val="msolistparagraph"/>
    <w:basedOn w:val="Normal"/>
    <w:rsid w:val="00873BA3"/>
    <w:pPr>
      <w:spacing w:after="0" w:line="240" w:lineRule="auto"/>
      <w:ind w:left="720"/>
    </w:pPr>
    <w:rPr>
      <w:rFonts w:eastAsia="Calibri"/>
      <w:b/>
      <w:bCs/>
      <w:color w:val="000000"/>
    </w:rPr>
  </w:style>
  <w:style w:type="character" w:customStyle="1" w:styleId="TitleChar1">
    <w:name w:val="Title Char1"/>
    <w:basedOn w:val="DefaultParagraphFont"/>
    <w:link w:val="Title"/>
    <w:locked/>
    <w:rsid w:val="000E11D2"/>
    <w:rPr>
      <w:rFonts w:ascii="Arial" w:hAnsi="Arial" w:cs="Arial"/>
      <w:b/>
      <w:bCs/>
      <w:color w:val="000000"/>
      <w:sz w:val="24"/>
      <w:szCs w:val="24"/>
      <w:lang w:val="el-GR" w:eastAsia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1F5B85"/>
    <w:rPr>
      <w:rFonts w:cs="Times New Roman"/>
    </w:rPr>
  </w:style>
  <w:style w:type="paragraph" w:styleId="Header">
    <w:name w:val="header"/>
    <w:basedOn w:val="Normal"/>
    <w:link w:val="HeaderChar"/>
    <w:semiHidden/>
    <w:rsid w:val="00424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4247A0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5E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locked/>
    <w:rsid w:val="005A12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A1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anuary%202019\Graphs%20January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anuary%202019\Graphs%20January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anuary%202019\Graphs%20January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anuary%202019\Graphs%20January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anuary%202019\Graphs%20January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anuary%202019\Graphs%20January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anuary%202019\Graphs%20January%20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19%20registered%20unemployed%20-%20monthly%20figures\January%202019\Graphs%20January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31"/>
          <c:h val="0.467384765106609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'!$A$14:$B$26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'total and gender '!$D$14:$D$26</c:f>
              <c:numCache>
                <c:formatCode>#,##0</c:formatCode>
                <c:ptCount val="13"/>
                <c:pt idx="0">
                  <c:v>16718</c:v>
                </c:pt>
                <c:pt idx="1">
                  <c:v>15621</c:v>
                </c:pt>
                <c:pt idx="2">
                  <c:v>14256</c:v>
                </c:pt>
                <c:pt idx="3">
                  <c:v>11705</c:v>
                </c:pt>
                <c:pt idx="4">
                  <c:v>10632</c:v>
                </c:pt>
                <c:pt idx="5">
                  <c:v>10436</c:v>
                </c:pt>
                <c:pt idx="6">
                  <c:v>10189</c:v>
                </c:pt>
                <c:pt idx="7">
                  <c:v>9839</c:v>
                </c:pt>
                <c:pt idx="8">
                  <c:v>9683</c:v>
                </c:pt>
                <c:pt idx="9">
                  <c:v>9541</c:v>
                </c:pt>
                <c:pt idx="10">
                  <c:v>12929</c:v>
                </c:pt>
                <c:pt idx="11">
                  <c:v>13690</c:v>
                </c:pt>
                <c:pt idx="12">
                  <c:v>14150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'!$A$14:$B$26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'total and gender '!$E$14:$E$26</c:f>
              <c:numCache>
                <c:formatCode>#,##0</c:formatCode>
                <c:ptCount val="13"/>
                <c:pt idx="0">
                  <c:v>19271</c:v>
                </c:pt>
                <c:pt idx="1">
                  <c:v>18583</c:v>
                </c:pt>
                <c:pt idx="2">
                  <c:v>16360</c:v>
                </c:pt>
                <c:pt idx="3">
                  <c:v>13198</c:v>
                </c:pt>
                <c:pt idx="4">
                  <c:v>12207</c:v>
                </c:pt>
                <c:pt idx="5">
                  <c:v>13372</c:v>
                </c:pt>
                <c:pt idx="6">
                  <c:v>14614</c:v>
                </c:pt>
                <c:pt idx="7">
                  <c:v>14027</c:v>
                </c:pt>
                <c:pt idx="8">
                  <c:v>11716</c:v>
                </c:pt>
                <c:pt idx="9">
                  <c:v>10906</c:v>
                </c:pt>
                <c:pt idx="10">
                  <c:v>15585</c:v>
                </c:pt>
                <c:pt idx="11">
                  <c:v>16110</c:v>
                </c:pt>
                <c:pt idx="12">
                  <c:v>16801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'!$A$14:$B$26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'total and gender '!$C$14:$C$26</c:f>
              <c:numCache>
                <c:formatCode>#,##0</c:formatCode>
                <c:ptCount val="13"/>
                <c:pt idx="0">
                  <c:v>35989</c:v>
                </c:pt>
                <c:pt idx="1">
                  <c:v>34204</c:v>
                </c:pt>
                <c:pt idx="2">
                  <c:v>30616</c:v>
                </c:pt>
                <c:pt idx="3">
                  <c:v>24903</c:v>
                </c:pt>
                <c:pt idx="4">
                  <c:v>22839</c:v>
                </c:pt>
                <c:pt idx="5">
                  <c:v>23808</c:v>
                </c:pt>
                <c:pt idx="6">
                  <c:v>24803</c:v>
                </c:pt>
                <c:pt idx="7">
                  <c:v>23866</c:v>
                </c:pt>
                <c:pt idx="8">
                  <c:v>21399</c:v>
                </c:pt>
                <c:pt idx="9">
                  <c:v>20447</c:v>
                </c:pt>
                <c:pt idx="10">
                  <c:v>28514</c:v>
                </c:pt>
                <c:pt idx="11">
                  <c:v>29800</c:v>
                </c:pt>
                <c:pt idx="12">
                  <c:v>30951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844288"/>
        <c:axId val="274850176"/>
      </c:lineChart>
      <c:catAx>
        <c:axId val="27484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74850176"/>
        <c:crosses val="autoZero"/>
        <c:auto val="1"/>
        <c:lblAlgn val="ctr"/>
        <c:lblOffset val="100"/>
        <c:noMultiLvlLbl val="0"/>
      </c:catAx>
      <c:valAx>
        <c:axId val="274850176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74844288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'!$P$1:$AB$2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'οικονομική '!$P$9:$AB$9</c:f>
              <c:numCache>
                <c:formatCode>General</c:formatCode>
                <c:ptCount val="13"/>
                <c:pt idx="0">
                  <c:v>5980</c:v>
                </c:pt>
                <c:pt idx="1">
                  <c:v>5870</c:v>
                </c:pt>
                <c:pt idx="2">
                  <c:v>5488</c:v>
                </c:pt>
                <c:pt idx="3">
                  <c:v>4964</c:v>
                </c:pt>
                <c:pt idx="4">
                  <c:v>4755</c:v>
                </c:pt>
                <c:pt idx="5">
                  <c:v>4551</c:v>
                </c:pt>
                <c:pt idx="6">
                  <c:v>4367</c:v>
                </c:pt>
                <c:pt idx="7">
                  <c:v>4270</c:v>
                </c:pt>
                <c:pt idx="8">
                  <c:v>4266</c:v>
                </c:pt>
                <c:pt idx="9">
                  <c:v>4221</c:v>
                </c:pt>
                <c:pt idx="10">
                  <c:v>4748</c:v>
                </c:pt>
                <c:pt idx="11">
                  <c:v>4615</c:v>
                </c:pt>
                <c:pt idx="12">
                  <c:v>4822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'!$P$1:$AB$2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'οικονομική '!$P$11:$AB$11</c:f>
              <c:numCache>
                <c:formatCode>General</c:formatCode>
                <c:ptCount val="13"/>
                <c:pt idx="0">
                  <c:v>10608</c:v>
                </c:pt>
                <c:pt idx="1">
                  <c:v>9983</c:v>
                </c:pt>
                <c:pt idx="2">
                  <c:v>7646</c:v>
                </c:pt>
                <c:pt idx="3">
                  <c:v>3892</c:v>
                </c:pt>
                <c:pt idx="4">
                  <c:v>2692</c:v>
                </c:pt>
                <c:pt idx="5">
                  <c:v>2457</c:v>
                </c:pt>
                <c:pt idx="6">
                  <c:v>2293</c:v>
                </c:pt>
                <c:pt idx="7">
                  <c:v>2183</c:v>
                </c:pt>
                <c:pt idx="8">
                  <c:v>2226</c:v>
                </c:pt>
                <c:pt idx="9">
                  <c:v>2504</c:v>
                </c:pt>
                <c:pt idx="10">
                  <c:v>8623</c:v>
                </c:pt>
                <c:pt idx="11">
                  <c:v>9578</c:v>
                </c:pt>
                <c:pt idx="12">
                  <c:v>10030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'!$P$1:$AB$2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'οικονομική '!$P$15:$AB$15</c:f>
              <c:numCache>
                <c:formatCode>General</c:formatCode>
                <c:ptCount val="13"/>
                <c:pt idx="0">
                  <c:v>2707</c:v>
                </c:pt>
                <c:pt idx="1">
                  <c:v>2029</c:v>
                </c:pt>
                <c:pt idx="2">
                  <c:v>2024</c:v>
                </c:pt>
                <c:pt idx="3">
                  <c:v>1722</c:v>
                </c:pt>
                <c:pt idx="4">
                  <c:v>1677</c:v>
                </c:pt>
                <c:pt idx="5">
                  <c:v>2171</c:v>
                </c:pt>
                <c:pt idx="6">
                  <c:v>2660</c:v>
                </c:pt>
                <c:pt idx="7">
                  <c:v>2516</c:v>
                </c:pt>
                <c:pt idx="8">
                  <c:v>1680</c:v>
                </c:pt>
                <c:pt idx="9">
                  <c:v>1346</c:v>
                </c:pt>
                <c:pt idx="10">
                  <c:v>1389</c:v>
                </c:pt>
                <c:pt idx="11">
                  <c:v>2095</c:v>
                </c:pt>
                <c:pt idx="12">
                  <c:v>2124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905728"/>
        <c:axId val="274907520"/>
      </c:lineChart>
      <c:catAx>
        <c:axId val="27490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4907520"/>
        <c:crosses val="autoZero"/>
        <c:auto val="1"/>
        <c:lblAlgn val="ctr"/>
        <c:lblOffset val="100"/>
        <c:noMultiLvlLbl val="0"/>
      </c:catAx>
      <c:valAx>
        <c:axId val="27490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490572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47"/>
          <c:w val="0.25192331347967761"/>
          <c:h val="0.3625382991560579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05"/>
          <c:h val="0.4294885237897097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επάγγελμα!$O$1:$AA$2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επάγγελμα!$O$4:$AA$4</c:f>
              <c:numCache>
                <c:formatCode>General</c:formatCode>
                <c:ptCount val="13"/>
                <c:pt idx="0">
                  <c:v>2142</c:v>
                </c:pt>
                <c:pt idx="1">
                  <c:v>2051</c:v>
                </c:pt>
                <c:pt idx="2">
                  <c:v>1978</c:v>
                </c:pt>
                <c:pt idx="3">
                  <c:v>1885</c:v>
                </c:pt>
                <c:pt idx="4">
                  <c:v>1881</c:v>
                </c:pt>
                <c:pt idx="5">
                  <c:v>2812</c:v>
                </c:pt>
                <c:pt idx="6">
                  <c:v>3647</c:v>
                </c:pt>
                <c:pt idx="7">
                  <c:v>3522</c:v>
                </c:pt>
                <c:pt idx="8">
                  <c:v>2469</c:v>
                </c:pt>
                <c:pt idx="9">
                  <c:v>1919</c:v>
                </c:pt>
                <c:pt idx="10">
                  <c:v>1946</c:v>
                </c:pt>
                <c:pt idx="11">
                  <c:v>1942</c:v>
                </c:pt>
                <c:pt idx="12">
                  <c:v>1931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επάγγελμα!$O$1:$AA$2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επάγγελμα!$O$6:$AA$6</c:f>
              <c:numCache>
                <c:formatCode>General</c:formatCode>
                <c:ptCount val="13"/>
                <c:pt idx="0">
                  <c:v>4902</c:v>
                </c:pt>
                <c:pt idx="1">
                  <c:v>4795</c:v>
                </c:pt>
                <c:pt idx="2">
                  <c:v>4444</c:v>
                </c:pt>
                <c:pt idx="3">
                  <c:v>3866</c:v>
                </c:pt>
                <c:pt idx="4">
                  <c:v>3606</c:v>
                </c:pt>
                <c:pt idx="5">
                  <c:v>3530</c:v>
                </c:pt>
                <c:pt idx="6">
                  <c:v>3748</c:v>
                </c:pt>
                <c:pt idx="7">
                  <c:v>3612</c:v>
                </c:pt>
                <c:pt idx="8">
                  <c:v>3537</c:v>
                </c:pt>
                <c:pt idx="9">
                  <c:v>3537</c:v>
                </c:pt>
                <c:pt idx="10">
                  <c:v>4379</c:v>
                </c:pt>
                <c:pt idx="11">
                  <c:v>4441</c:v>
                </c:pt>
                <c:pt idx="12">
                  <c:v>4611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επάγγελμα!$O$1:$AA$2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επάγγελμα!$O$7:$AA$7</c:f>
              <c:numCache>
                <c:formatCode>General</c:formatCode>
                <c:ptCount val="13"/>
                <c:pt idx="0">
                  <c:v>10599</c:v>
                </c:pt>
                <c:pt idx="1">
                  <c:v>10044</c:v>
                </c:pt>
                <c:pt idx="2">
                  <c:v>8595</c:v>
                </c:pt>
                <c:pt idx="3">
                  <c:v>5866</c:v>
                </c:pt>
                <c:pt idx="4">
                  <c:v>5046</c:v>
                </c:pt>
                <c:pt idx="5">
                  <c:v>5315</c:v>
                </c:pt>
                <c:pt idx="6">
                  <c:v>5196</c:v>
                </c:pt>
                <c:pt idx="7">
                  <c:v>5035</c:v>
                </c:pt>
                <c:pt idx="8">
                  <c:v>4429</c:v>
                </c:pt>
                <c:pt idx="9">
                  <c:v>4432</c:v>
                </c:pt>
                <c:pt idx="10">
                  <c:v>8291</c:v>
                </c:pt>
                <c:pt idx="11">
                  <c:v>8951</c:v>
                </c:pt>
                <c:pt idx="12">
                  <c:v>9498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επάγγελμα!$O$1:$AA$2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επάγγελμα!$O$9:$AA$9</c:f>
              <c:numCache>
                <c:formatCode>General</c:formatCode>
                <c:ptCount val="13"/>
                <c:pt idx="0">
                  <c:v>2231</c:v>
                </c:pt>
                <c:pt idx="1">
                  <c:v>2051</c:v>
                </c:pt>
                <c:pt idx="2">
                  <c:v>1925</c:v>
                </c:pt>
                <c:pt idx="3">
                  <c:v>1733</c:v>
                </c:pt>
                <c:pt idx="4">
                  <c:v>1679</c:v>
                </c:pt>
                <c:pt idx="5">
                  <c:v>1641</c:v>
                </c:pt>
                <c:pt idx="6">
                  <c:v>1539</c:v>
                </c:pt>
                <c:pt idx="7">
                  <c:v>1505</c:v>
                </c:pt>
                <c:pt idx="8">
                  <c:v>1491</c:v>
                </c:pt>
                <c:pt idx="9">
                  <c:v>1457</c:v>
                </c:pt>
                <c:pt idx="10">
                  <c:v>1617</c:v>
                </c:pt>
                <c:pt idx="11">
                  <c:v>1674</c:v>
                </c:pt>
                <c:pt idx="12">
                  <c:v>1746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επάγγελμα!$O$1:$AA$2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επάγγελμα!$O$11:$AA$11</c:f>
              <c:numCache>
                <c:formatCode>General</c:formatCode>
                <c:ptCount val="13"/>
                <c:pt idx="0">
                  <c:v>8486</c:v>
                </c:pt>
                <c:pt idx="1">
                  <c:v>7809</c:v>
                </c:pt>
                <c:pt idx="2">
                  <c:v>6634</c:v>
                </c:pt>
                <c:pt idx="3">
                  <c:v>4988</c:v>
                </c:pt>
                <c:pt idx="4">
                  <c:v>4484</c:v>
                </c:pt>
                <c:pt idx="5">
                  <c:v>4376</c:v>
                </c:pt>
                <c:pt idx="6">
                  <c:v>4637</c:v>
                </c:pt>
                <c:pt idx="7">
                  <c:v>4343</c:v>
                </c:pt>
                <c:pt idx="8">
                  <c:v>3960</c:v>
                </c:pt>
                <c:pt idx="9">
                  <c:v>3960</c:v>
                </c:pt>
                <c:pt idx="10">
                  <c:v>6493</c:v>
                </c:pt>
                <c:pt idx="11">
                  <c:v>7157</c:v>
                </c:pt>
                <c:pt idx="12">
                  <c:v>7430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942976"/>
        <c:axId val="274965632"/>
      </c:lineChart>
      <c:catAx>
        <c:axId val="27494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4965632"/>
        <c:crosses val="autoZero"/>
        <c:auto val="1"/>
        <c:lblAlgn val="ctr"/>
        <c:lblOffset val="100"/>
        <c:noMultiLvlLbl val="0"/>
      </c:catAx>
      <c:valAx>
        <c:axId val="274965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494297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4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'!$N$1:$Z$2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'ηλικία '!$N$3:$Z$3</c:f>
              <c:numCache>
                <c:formatCode>#,##0</c:formatCode>
                <c:ptCount val="13"/>
                <c:pt idx="0">
                  <c:v>2541</c:v>
                </c:pt>
                <c:pt idx="1">
                  <c:v>2449</c:v>
                </c:pt>
                <c:pt idx="2">
                  <c:v>2049</c:v>
                </c:pt>
                <c:pt idx="3">
                  <c:v>1534</c:v>
                </c:pt>
                <c:pt idx="4">
                  <c:v>1337</c:v>
                </c:pt>
                <c:pt idx="5">
                  <c:v>1275</c:v>
                </c:pt>
                <c:pt idx="6">
                  <c:v>1300</c:v>
                </c:pt>
                <c:pt idx="7">
                  <c:v>1226</c:v>
                </c:pt>
                <c:pt idx="8">
                  <c:v>1257</c:v>
                </c:pt>
                <c:pt idx="9">
                  <c:v>1203</c:v>
                </c:pt>
                <c:pt idx="10">
                  <c:v>1911</c:v>
                </c:pt>
                <c:pt idx="11">
                  <c:v>1858</c:v>
                </c:pt>
                <c:pt idx="12">
                  <c:v>2002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'!$N$1:$Z$2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'ηλικία '!$N$4:$Z$4</c:f>
              <c:numCache>
                <c:formatCode>#,##0</c:formatCode>
                <c:ptCount val="13"/>
                <c:pt idx="0">
                  <c:v>4791</c:v>
                </c:pt>
                <c:pt idx="1">
                  <c:v>4517</c:v>
                </c:pt>
                <c:pt idx="2">
                  <c:v>3989</c:v>
                </c:pt>
                <c:pt idx="3">
                  <c:v>3144</c:v>
                </c:pt>
                <c:pt idx="4">
                  <c:v>2820</c:v>
                </c:pt>
                <c:pt idx="5">
                  <c:v>3054</c:v>
                </c:pt>
                <c:pt idx="6">
                  <c:v>3230</c:v>
                </c:pt>
                <c:pt idx="7">
                  <c:v>3135</c:v>
                </c:pt>
                <c:pt idx="8">
                  <c:v>2785</c:v>
                </c:pt>
                <c:pt idx="9">
                  <c:v>2702</c:v>
                </c:pt>
                <c:pt idx="10">
                  <c:v>3691</c:v>
                </c:pt>
                <c:pt idx="11">
                  <c:v>3711</c:v>
                </c:pt>
                <c:pt idx="12">
                  <c:v>3885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'!$N$1:$Z$2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'ηλικία '!$N$5:$Z$5</c:f>
              <c:numCache>
                <c:formatCode>#,##0</c:formatCode>
                <c:ptCount val="13"/>
                <c:pt idx="0">
                  <c:v>9790</c:v>
                </c:pt>
                <c:pt idx="1">
                  <c:v>9125</c:v>
                </c:pt>
                <c:pt idx="2">
                  <c:v>8177</c:v>
                </c:pt>
                <c:pt idx="3">
                  <c:v>6761</c:v>
                </c:pt>
                <c:pt idx="4">
                  <c:v>6284</c:v>
                </c:pt>
                <c:pt idx="5">
                  <c:v>6940</c:v>
                </c:pt>
                <c:pt idx="6">
                  <c:v>7323</c:v>
                </c:pt>
                <c:pt idx="7">
                  <c:v>7137</c:v>
                </c:pt>
                <c:pt idx="8">
                  <c:v>6045</c:v>
                </c:pt>
                <c:pt idx="9">
                  <c:v>5530</c:v>
                </c:pt>
                <c:pt idx="10">
                  <c:v>7515</c:v>
                </c:pt>
                <c:pt idx="11">
                  <c:v>7897</c:v>
                </c:pt>
                <c:pt idx="12">
                  <c:v>8112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'!$N$1:$Z$2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'ηλικία '!$N$6:$Z$6</c:f>
              <c:numCache>
                <c:formatCode>#,##0</c:formatCode>
                <c:ptCount val="13"/>
                <c:pt idx="0">
                  <c:v>7518</c:v>
                </c:pt>
                <c:pt idx="1">
                  <c:v>7248</c:v>
                </c:pt>
                <c:pt idx="2">
                  <c:v>6371</c:v>
                </c:pt>
                <c:pt idx="3">
                  <c:v>4976</c:v>
                </c:pt>
                <c:pt idx="4">
                  <c:v>4520</c:v>
                </c:pt>
                <c:pt idx="5">
                  <c:v>4566</c:v>
                </c:pt>
                <c:pt idx="6">
                  <c:v>4718</c:v>
                </c:pt>
                <c:pt idx="7">
                  <c:v>4456</c:v>
                </c:pt>
                <c:pt idx="8">
                  <c:v>4073</c:v>
                </c:pt>
                <c:pt idx="9">
                  <c:v>3903</c:v>
                </c:pt>
                <c:pt idx="10">
                  <c:v>5950</c:v>
                </c:pt>
                <c:pt idx="11">
                  <c:v>6366</c:v>
                </c:pt>
                <c:pt idx="12">
                  <c:v>6617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'!$N$1:$Z$2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'ηλικία '!$N$7:$Z$7</c:f>
              <c:numCache>
                <c:formatCode>#,##0</c:formatCode>
                <c:ptCount val="13"/>
                <c:pt idx="0">
                  <c:v>7985</c:v>
                </c:pt>
                <c:pt idx="1">
                  <c:v>7614</c:v>
                </c:pt>
                <c:pt idx="2">
                  <c:v>6939</c:v>
                </c:pt>
                <c:pt idx="3">
                  <c:v>5759</c:v>
                </c:pt>
                <c:pt idx="4">
                  <c:v>5259</c:v>
                </c:pt>
                <c:pt idx="5">
                  <c:v>5333</c:v>
                </c:pt>
                <c:pt idx="6">
                  <c:v>5534</c:v>
                </c:pt>
                <c:pt idx="7">
                  <c:v>5317</c:v>
                </c:pt>
                <c:pt idx="8">
                  <c:v>4766</c:v>
                </c:pt>
                <c:pt idx="9">
                  <c:v>4708</c:v>
                </c:pt>
                <c:pt idx="10">
                  <c:v>6530</c:v>
                </c:pt>
                <c:pt idx="11">
                  <c:v>6921</c:v>
                </c:pt>
                <c:pt idx="12">
                  <c:v>7210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'!$N$1:$Z$2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'ηλικία '!$N$8:$Z$8</c:f>
              <c:numCache>
                <c:formatCode>#,##0</c:formatCode>
                <c:ptCount val="13"/>
                <c:pt idx="0">
                  <c:v>3171</c:v>
                </c:pt>
                <c:pt idx="1">
                  <c:v>3049</c:v>
                </c:pt>
                <c:pt idx="2">
                  <c:v>2900</c:v>
                </c:pt>
                <c:pt idx="3">
                  <c:v>2554</c:v>
                </c:pt>
                <c:pt idx="4">
                  <c:v>2445</c:v>
                </c:pt>
                <c:pt idx="5">
                  <c:v>2466</c:v>
                </c:pt>
                <c:pt idx="6">
                  <c:v>2518</c:v>
                </c:pt>
                <c:pt idx="7">
                  <c:v>2425</c:v>
                </c:pt>
                <c:pt idx="8">
                  <c:v>2299</c:v>
                </c:pt>
                <c:pt idx="9">
                  <c:v>2236</c:v>
                </c:pt>
                <c:pt idx="10">
                  <c:v>2720</c:v>
                </c:pt>
                <c:pt idx="11">
                  <c:v>2851</c:v>
                </c:pt>
                <c:pt idx="12">
                  <c:v>2934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461248"/>
        <c:axId val="275462784"/>
      </c:lineChart>
      <c:catAx>
        <c:axId val="27546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5462784"/>
        <c:crosses val="autoZero"/>
        <c:auto val="1"/>
        <c:lblAlgn val="ctr"/>
        <c:lblOffset val="100"/>
        <c:noMultiLvlLbl val="0"/>
      </c:catAx>
      <c:valAx>
        <c:axId val="27546278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5461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47"/>
          <c:w val="0.1426893883586797"/>
          <c:h val="0.4595317867145801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42"/>
          <c:w val="0.65944704164689982"/>
          <c:h val="0.38490536115010426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'!$N$1:$Z$2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'διάρκεια '!$N$8:$Z$8</c:f>
              <c:numCache>
                <c:formatCode>General</c:formatCode>
                <c:ptCount val="13"/>
                <c:pt idx="0">
                  <c:v>13102</c:v>
                </c:pt>
                <c:pt idx="1">
                  <c:v>12843</c:v>
                </c:pt>
                <c:pt idx="2">
                  <c:v>12633</c:v>
                </c:pt>
                <c:pt idx="3">
                  <c:v>12352</c:v>
                </c:pt>
                <c:pt idx="4">
                  <c:v>11839</c:v>
                </c:pt>
                <c:pt idx="5">
                  <c:v>10891</c:v>
                </c:pt>
                <c:pt idx="6">
                  <c:v>10441</c:v>
                </c:pt>
                <c:pt idx="7">
                  <c:v>9903</c:v>
                </c:pt>
                <c:pt idx="8">
                  <c:v>9565</c:v>
                </c:pt>
                <c:pt idx="9">
                  <c:v>9186</c:v>
                </c:pt>
                <c:pt idx="10">
                  <c:v>8789</c:v>
                </c:pt>
                <c:pt idx="11">
                  <c:v>8672</c:v>
                </c:pt>
                <c:pt idx="12">
                  <c:v>8509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'!$N$1:$Z$2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'διάρκεια '!$N$7:$Z$7</c:f>
              <c:numCache>
                <c:formatCode>General</c:formatCode>
                <c:ptCount val="13"/>
                <c:pt idx="0">
                  <c:v>9126</c:v>
                </c:pt>
                <c:pt idx="1">
                  <c:v>8880</c:v>
                </c:pt>
                <c:pt idx="2">
                  <c:v>8636</c:v>
                </c:pt>
                <c:pt idx="3">
                  <c:v>8235</c:v>
                </c:pt>
                <c:pt idx="4">
                  <c:v>7856</c:v>
                </c:pt>
                <c:pt idx="5" formatCode="#,##0">
                  <c:v>7429</c:v>
                </c:pt>
                <c:pt idx="6" formatCode="#,##0">
                  <c:v>6980</c:v>
                </c:pt>
                <c:pt idx="7" formatCode="#,##0">
                  <c:v>6617</c:v>
                </c:pt>
                <c:pt idx="8" formatCode="#,##0">
                  <c:v>6393</c:v>
                </c:pt>
                <c:pt idx="9" formatCode="#,##0">
                  <c:v>5952</c:v>
                </c:pt>
                <c:pt idx="10" formatCode="#,##0">
                  <c:v>5745</c:v>
                </c:pt>
                <c:pt idx="11" formatCode="#,##0">
                  <c:v>5468</c:v>
                </c:pt>
                <c:pt idx="12" formatCode="#,##0">
                  <c:v>5313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508608"/>
        <c:axId val="276104320"/>
      </c:lineChart>
      <c:catAx>
        <c:axId val="27550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6104320"/>
        <c:crosses val="autoZero"/>
        <c:auto val="1"/>
        <c:lblAlgn val="ctr"/>
        <c:lblOffset val="100"/>
        <c:noMultiLvlLbl val="0"/>
      </c:catAx>
      <c:valAx>
        <c:axId val="27610432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5508608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86"/>
          <c:y val="3.74533205075224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74E-2"/>
          <c:y val="0.24094960040107638"/>
          <c:w val="0.58061855670103057"/>
          <c:h val="0.3171048001022389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'υπηκοότητα '!$AL$4:$AX$4</c:f>
              <c:numCache>
                <c:formatCode>General</c:formatCode>
                <c:ptCount val="13"/>
                <c:pt idx="0">
                  <c:v>7061</c:v>
                </c:pt>
                <c:pt idx="1">
                  <c:v>6729</c:v>
                </c:pt>
                <c:pt idx="2">
                  <c:v>5329</c:v>
                </c:pt>
                <c:pt idx="3">
                  <c:v>3258</c:v>
                </c:pt>
                <c:pt idx="4">
                  <c:v>2554</c:v>
                </c:pt>
                <c:pt idx="5">
                  <c:v>2529</c:v>
                </c:pt>
                <c:pt idx="6">
                  <c:v>2513</c:v>
                </c:pt>
                <c:pt idx="7">
                  <c:v>2379</c:v>
                </c:pt>
                <c:pt idx="8">
                  <c:v>2422</c:v>
                </c:pt>
                <c:pt idx="9">
                  <c:v>2630</c:v>
                </c:pt>
                <c:pt idx="10">
                  <c:v>6332</c:v>
                </c:pt>
                <c:pt idx="11">
                  <c:v>6828</c:v>
                </c:pt>
                <c:pt idx="12">
                  <c:v>7269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'υπηκοότητα '!$AL$5:$AX$5</c:f>
              <c:numCache>
                <c:formatCode>General</c:formatCode>
                <c:ptCount val="13"/>
                <c:pt idx="0">
                  <c:v>1362</c:v>
                </c:pt>
                <c:pt idx="1">
                  <c:v>1282</c:v>
                </c:pt>
                <c:pt idx="2">
                  <c:v>1125</c:v>
                </c:pt>
                <c:pt idx="3">
                  <c:v>854</c:v>
                </c:pt>
                <c:pt idx="4">
                  <c:v>752</c:v>
                </c:pt>
                <c:pt idx="5">
                  <c:v>711</c:v>
                </c:pt>
                <c:pt idx="6">
                  <c:v>672</c:v>
                </c:pt>
                <c:pt idx="7">
                  <c:v>657</c:v>
                </c:pt>
                <c:pt idx="8">
                  <c:v>681</c:v>
                </c:pt>
                <c:pt idx="9">
                  <c:v>703</c:v>
                </c:pt>
                <c:pt idx="10">
                  <c:v>1057</c:v>
                </c:pt>
                <c:pt idx="11">
                  <c:v>1129</c:v>
                </c:pt>
                <c:pt idx="12">
                  <c:v>1176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'υπηκοότητα '!$AL$8:$AX$8</c:f>
              <c:numCache>
                <c:formatCode>General</c:formatCode>
                <c:ptCount val="13"/>
                <c:pt idx="0">
                  <c:v>1470</c:v>
                </c:pt>
                <c:pt idx="1">
                  <c:v>1420</c:v>
                </c:pt>
                <c:pt idx="2">
                  <c:v>1387</c:v>
                </c:pt>
                <c:pt idx="3">
                  <c:v>1382</c:v>
                </c:pt>
                <c:pt idx="4">
                  <c:v>1336</c:v>
                </c:pt>
                <c:pt idx="5">
                  <c:v>1215</c:v>
                </c:pt>
                <c:pt idx="6">
                  <c:v>1109</c:v>
                </c:pt>
                <c:pt idx="7">
                  <c:v>1042</c:v>
                </c:pt>
                <c:pt idx="8">
                  <c:v>945</c:v>
                </c:pt>
                <c:pt idx="9">
                  <c:v>851</c:v>
                </c:pt>
                <c:pt idx="10">
                  <c:v>824</c:v>
                </c:pt>
                <c:pt idx="11">
                  <c:v>767</c:v>
                </c:pt>
                <c:pt idx="12">
                  <c:v>765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'!$AL$1:$AX$2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'υπηκοότητα '!$AL$3:$AX$3</c:f>
              <c:numCache>
                <c:formatCode>General</c:formatCode>
                <c:ptCount val="13"/>
                <c:pt idx="0">
                  <c:v>23919</c:v>
                </c:pt>
                <c:pt idx="1">
                  <c:v>22628</c:v>
                </c:pt>
                <c:pt idx="2">
                  <c:v>20837</c:v>
                </c:pt>
                <c:pt idx="3">
                  <c:v>17795</c:v>
                </c:pt>
                <c:pt idx="4">
                  <c:v>16731</c:v>
                </c:pt>
                <c:pt idx="5">
                  <c:v>17907</c:v>
                </c:pt>
                <c:pt idx="6">
                  <c:v>19129</c:v>
                </c:pt>
                <c:pt idx="7">
                  <c:v>18460</c:v>
                </c:pt>
                <c:pt idx="8">
                  <c:v>16036</c:v>
                </c:pt>
                <c:pt idx="9">
                  <c:v>15032</c:v>
                </c:pt>
                <c:pt idx="10">
                  <c:v>18591</c:v>
                </c:pt>
                <c:pt idx="11">
                  <c:v>19354</c:v>
                </c:pt>
                <c:pt idx="12">
                  <c:v>19911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778368"/>
        <c:axId val="276792448"/>
      </c:lineChart>
      <c:catAx>
        <c:axId val="2767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6792448"/>
        <c:crosses val="autoZero"/>
        <c:auto val="1"/>
        <c:lblAlgn val="ctr"/>
        <c:lblOffset val="100"/>
        <c:noMultiLvlLbl val="0"/>
      </c:catAx>
      <c:valAx>
        <c:axId val="276792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677836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17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3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6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μόρφωση!$N$1:$Z$2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μόρφωση!$N$8:$Z$8</c:f>
              <c:numCache>
                <c:formatCode>#,##0</c:formatCode>
                <c:ptCount val="13"/>
                <c:pt idx="0">
                  <c:v>18217</c:v>
                </c:pt>
                <c:pt idx="1">
                  <c:v>17329</c:v>
                </c:pt>
                <c:pt idx="2">
                  <c:v>15529</c:v>
                </c:pt>
                <c:pt idx="3">
                  <c:v>12359</c:v>
                </c:pt>
                <c:pt idx="4">
                  <c:v>11277</c:v>
                </c:pt>
                <c:pt idx="5">
                  <c:v>11175</c:v>
                </c:pt>
                <c:pt idx="6">
                  <c:v>11314</c:v>
                </c:pt>
                <c:pt idx="7">
                  <c:v>10770</c:v>
                </c:pt>
                <c:pt idx="8">
                  <c:v>10016</c:v>
                </c:pt>
                <c:pt idx="9">
                  <c:v>9905</c:v>
                </c:pt>
                <c:pt idx="10">
                  <c:v>14081</c:v>
                </c:pt>
                <c:pt idx="11">
                  <c:v>14858</c:v>
                </c:pt>
                <c:pt idx="12">
                  <c:v>15537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μόρφωση!$N$1:$Z$2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μόρφωση!$N$9:$Z$9</c:f>
              <c:numCache>
                <c:formatCode>#,##0</c:formatCode>
                <c:ptCount val="13"/>
                <c:pt idx="0">
                  <c:v>8686</c:v>
                </c:pt>
                <c:pt idx="1">
                  <c:v>8339</c:v>
                </c:pt>
                <c:pt idx="2">
                  <c:v>7859</c:v>
                </c:pt>
                <c:pt idx="3">
                  <c:v>7104</c:v>
                </c:pt>
                <c:pt idx="4">
                  <c:v>6834</c:v>
                </c:pt>
                <c:pt idx="5">
                  <c:v>8208</c:v>
                </c:pt>
                <c:pt idx="6">
                  <c:v>9256</c:v>
                </c:pt>
                <c:pt idx="7">
                  <c:v>9155</c:v>
                </c:pt>
                <c:pt idx="8">
                  <c:v>7562</c:v>
                </c:pt>
                <c:pt idx="9">
                  <c:v>6705</c:v>
                </c:pt>
                <c:pt idx="10">
                  <c:v>7373</c:v>
                </c:pt>
                <c:pt idx="11">
                  <c:v>7332</c:v>
                </c:pt>
                <c:pt idx="12">
                  <c:v>7452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μόρφωση!$N$1:$Z$2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μόρφωση!$N$5:$Z$5</c:f>
              <c:numCache>
                <c:formatCode>#,##0</c:formatCode>
                <c:ptCount val="13"/>
                <c:pt idx="0">
                  <c:v>9086</c:v>
                </c:pt>
                <c:pt idx="1">
                  <c:v>8536</c:v>
                </c:pt>
                <c:pt idx="2">
                  <c:v>7228</c:v>
                </c:pt>
                <c:pt idx="3">
                  <c:v>5440</c:v>
                </c:pt>
                <c:pt idx="4">
                  <c:v>4728</c:v>
                </c:pt>
                <c:pt idx="5">
                  <c:v>4425</c:v>
                </c:pt>
                <c:pt idx="6">
                  <c:v>4233</c:v>
                </c:pt>
                <c:pt idx="7">
                  <c:v>3941</c:v>
                </c:pt>
                <c:pt idx="8">
                  <c:v>3821</c:v>
                </c:pt>
                <c:pt idx="9">
                  <c:v>3837</c:v>
                </c:pt>
                <c:pt idx="10">
                  <c:v>7060</c:v>
                </c:pt>
                <c:pt idx="11">
                  <c:v>7610</c:v>
                </c:pt>
                <c:pt idx="12">
                  <c:v>7962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814464"/>
        <c:axId val="278462848"/>
      </c:lineChart>
      <c:catAx>
        <c:axId val="27681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8462848"/>
        <c:crosses val="autoZero"/>
        <c:auto val="1"/>
        <c:lblAlgn val="ctr"/>
        <c:lblOffset val="100"/>
        <c:noMultiLvlLbl val="0"/>
      </c:catAx>
      <c:valAx>
        <c:axId val="27846284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681446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74"/>
          <c:y val="0.21780104910888681"/>
          <c:w val="0.24643224113512555"/>
          <c:h val="0.39561740028398457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8DFA-9EB0-47E9-8B7A-982D5298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Μάρτιος 2010:  Προκαταρτικές Επισημάνσεις/ Διαπιστώσεις Ανεργίας</vt:lpstr>
    </vt:vector>
  </TitlesOfParts>
  <Company>MOF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Μάρτιος 2010:  Προκαταρτικές Επισημάνσεις/ Διαπιστώσεις Ανεργίας</dc:title>
  <dc:creator>User</dc:creator>
  <cp:lastModifiedBy>Administrator</cp:lastModifiedBy>
  <cp:revision>53</cp:revision>
  <cp:lastPrinted>2018-11-01T13:15:00Z</cp:lastPrinted>
  <dcterms:created xsi:type="dcterms:W3CDTF">2018-12-10T06:55:00Z</dcterms:created>
  <dcterms:modified xsi:type="dcterms:W3CDTF">2019-02-01T11:11:00Z</dcterms:modified>
</cp:coreProperties>
</file>